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7"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36" w:lineRule="exact"/>
        <w:rPr>
          <w:sz w:val="24"/>
          <w:szCs w:val="24"/>
          <w:color w:val="auto"/>
        </w:rPr>
      </w:pPr>
    </w:p>
    <w:p>
      <w:pPr>
        <w:ind w:left="520" w:right="599" w:hanging="513"/>
        <w:spacing w:after="0" w:line="262"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0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95" w:lineRule="exact"/>
        <w:rPr>
          <w:sz w:val="24"/>
          <w:szCs w:val="24"/>
          <w:color w:val="auto"/>
        </w:rPr>
      </w:pPr>
    </w:p>
    <w:p>
      <w:pPr>
        <w:ind w:left="520" w:right="159" w:hanging="513"/>
        <w:spacing w:after="0" w:line="262" w:lineRule="auto"/>
        <w:tabs>
          <w:tab w:leader="none" w:pos="443"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05" w:lineRule="exact"/>
        <w:rPr>
          <w:sz w:val="24"/>
          <w:szCs w:val="24"/>
          <w:color w:val="auto"/>
        </w:rPr>
      </w:pPr>
    </w:p>
    <w:p>
      <w:pPr>
        <w:ind w:left="520"/>
        <w:spacing w:after="0"/>
        <w:tabs>
          <w:tab w:leader="none" w:pos="3060"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-5080</wp:posOffset>
            </wp:positionV>
            <wp:extent cx="92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Commission file number 1-35166</w:t>
      </w:r>
    </w:p>
    <w:p>
      <w:pPr>
        <w:spacing w:after="0" w:line="337" w:lineRule="exact"/>
        <w:rPr>
          <w:sz w:val="24"/>
          <w:szCs w:val="24"/>
          <w:color w:val="auto"/>
        </w:rPr>
      </w:pPr>
    </w:p>
    <w:p>
      <w:pPr>
        <w:ind w:left="520" w:hanging="51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58"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22"/>
          <w:szCs w:val="22"/>
          <w:b w:val="1"/>
          <w:bCs w:val="1"/>
          <w:color w:val="auto"/>
        </w:rPr>
        <w:t>FORTUNE BRANDS INNOVATIONS HOURLY EMPLOYEE</w:t>
      </w:r>
    </w:p>
    <w:p>
      <w:pPr>
        <w:spacing w:after="0" w:line="1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RETIREMENT SAVINGS PLAN</w:t>
      </w:r>
    </w:p>
    <w:p>
      <w:pPr>
        <w:spacing w:after="0" w:line="380" w:lineRule="exact"/>
        <w:rPr>
          <w:sz w:val="24"/>
          <w:szCs w:val="24"/>
          <w:color w:val="auto"/>
        </w:rPr>
      </w:pPr>
    </w:p>
    <w:p>
      <w:pPr>
        <w:ind w:left="520" w:hanging="513"/>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issuer of the securities held pursuant to the plan and the address of its principal executive office:</w:t>
      </w:r>
    </w:p>
    <w:p>
      <w:pPr>
        <w:spacing w:after="0" w:line="158"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22"/>
          <w:szCs w:val="22"/>
          <w:b w:val="1"/>
          <w:bCs w:val="1"/>
          <w:color w:val="auto"/>
        </w:rPr>
        <w:t>FORTUNE BRANDS INNOVATIONS, INC.</w:t>
      </w:r>
    </w:p>
    <w:p>
      <w:pPr>
        <w:spacing w:after="0" w:line="2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1 Horizon Way, Building N,</w:t>
      </w:r>
    </w:p>
    <w:p>
      <w:pPr>
        <w:spacing w:after="0" w:line="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Deerfield, Illinois 60015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-349885</wp:posOffset>
            </wp:positionH>
            <wp:positionV relativeFrom="paragraph">
              <wp:posOffset>927735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9"/>
          </w:cols>
          <w:pgMar w:left="860" w:top="1440" w:right="1440" w:bottom="1440" w:gutter="0" w:footer="0" w:header="0"/>
        </w:sectPr>
      </w:pPr>
    </w:p>
    <w:bookmarkStart w:id="1" w:name="page2"/>
    <w:bookmarkEnd w:id="1"/>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1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Financial Statements</w:t>
      </w:r>
    </w:p>
    <w:p>
      <w:pPr>
        <w:spacing w:after="0" w:line="24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Schedule H, Line 4i—Schedule of Assets (Held at End of Year)</w:t>
      </w:r>
    </w:p>
    <w:p>
      <w:pPr>
        <w:spacing w:after="0" w:line="25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Signature</w:t>
      </w:r>
    </w:p>
    <w:p>
      <w:pPr>
        <w:spacing w:after="0" w:line="24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Exhibit Index</w:t>
      </w:r>
    </w:p>
    <w:p>
      <w:pPr>
        <w:spacing w:after="0" w:line="229" w:lineRule="exact"/>
        <w:rPr>
          <w:sz w:val="20"/>
          <w:szCs w:val="20"/>
          <w:color w:val="auto"/>
        </w:rPr>
      </w:pPr>
    </w:p>
    <w:p>
      <w:pPr>
        <w:ind w:left="80"/>
        <w:spacing w:after="0"/>
        <w:tabs>
          <w:tab w:leader="none" w:pos="1260" w:val="left"/>
        </w:tabs>
        <w:rPr>
          <w:sz w:val="20"/>
          <w:szCs w:val="20"/>
          <w:color w:val="auto"/>
        </w:rPr>
      </w:pPr>
      <w:r>
        <w:rPr>
          <w:rFonts w:ascii="Times New Roman" w:cs="Times New Roman" w:eastAsia="Times New Roman" w:hAnsi="Times New Roman"/>
          <w:sz w:val="20"/>
          <w:szCs w:val="20"/>
          <w:color w:val="auto"/>
        </w:rPr>
        <w:t>Exhibit 23.1</w:t>
      </w:r>
      <w:r>
        <w:rPr>
          <w:sz w:val="20"/>
          <w:szCs w:val="20"/>
          <w:color w:val="auto"/>
        </w:rPr>
        <w:tab/>
      </w:r>
      <w:r>
        <w:rPr>
          <w:rFonts w:ascii="Times New Roman" w:cs="Times New Roman" w:eastAsia="Times New Roman" w:hAnsi="Times New Roman"/>
          <w:sz w:val="19"/>
          <w:szCs w:val="19"/>
          <w:color w:val="auto"/>
        </w:rPr>
        <w:t>Consent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6"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4</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pacing w:after="0" w:line="25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w:t>
      </w:r>
    </w:p>
    <w:p>
      <w:pPr>
        <w:spacing w:after="0" w:line="672" w:lineRule="exact"/>
        <w:rPr>
          <w:sz w:val="20"/>
          <w:szCs w:val="20"/>
          <w:color w:val="auto"/>
        </w:rPr>
      </w:pPr>
    </w:p>
    <w:p>
      <w:pPr>
        <w:sectPr>
          <w:pgSz w:w="11900" w:h="16838" w:orient="portrait"/>
          <w:cols w:equalWidth="0" w:num="2">
            <w:col w:w="8900" w:space="720"/>
            <w:col w:w="540"/>
          </w:cols>
          <w:pgMar w:left="860" w:top="1440" w:right="87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jc w:val="both"/>
        <w:ind w:left="780" w:hanging="763"/>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Note: </w:t>
      </w:r>
      <w:r>
        <w:rPr>
          <w:rFonts w:ascii="Times New Roman" w:cs="Times New Roman" w:eastAsia="Times New Roman" w:hAnsi="Times New Roman"/>
          <w:sz w:val="20"/>
          <w:szCs w:val="20"/>
          <w:color w:val="auto"/>
        </w:rPr>
        <w:t>Other supplemental schedules required by the Employee Retirement Income Security Act have been omitted because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supplemental schedules are not applicable to the Fortune Brands Innovations Hourly Employee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462915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0"/>
          </w:cols>
          <w:pgMar w:left="860" w:top="1440" w:right="87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Fortune Brands Innovations Employee Benefits Committee and Plan Participants of</w:t>
      </w:r>
    </w:p>
    <w:p>
      <w:pPr>
        <w:spacing w:after="0" w:line="22" w:lineRule="exact"/>
        <w:rPr>
          <w:sz w:val="20"/>
          <w:szCs w:val="20"/>
          <w:color w:val="auto"/>
        </w:rPr>
      </w:pPr>
    </w:p>
    <w:p>
      <w:pPr>
        <w:ind w:right="5560"/>
        <w:spacing w:after="0" w:line="246" w:lineRule="auto"/>
        <w:rPr>
          <w:sz w:val="20"/>
          <w:szCs w:val="20"/>
          <w:color w:val="auto"/>
        </w:rPr>
      </w:pPr>
      <w:r>
        <w:rPr>
          <w:rFonts w:ascii="Times New Roman" w:cs="Times New Roman" w:eastAsia="Times New Roman" w:hAnsi="Times New Roman"/>
          <w:sz w:val="20"/>
          <w:szCs w:val="20"/>
          <w:color w:val="auto"/>
        </w:rPr>
        <w:t>Fortune Brands Innovations Hourly Employee Retirement Savings Plan Deerfield, Illinois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We have audited the accompanying statements of net assets available for benefits of the Fortune Brands Innovations Hourly Employee Retirement Savings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7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2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supplemental information in the accompanying Schedule H, line 4i -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6" w:right="339" w:bottom="1440" w:gutter="0" w:footer="0" w:header="0"/>
        </w:sectPr>
      </w:pPr>
    </w:p>
    <w:bookmarkStart w:id="3" w:name="page4"/>
    <w:bookmarkEnd w:id="3"/>
    <w:p>
      <w:pPr>
        <w:ind w:left="20" w:right="5020"/>
        <w:spacing w:after="0" w:line="256" w:lineRule="auto"/>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 STATEMENTS OF NET ASSETS AVAILABLE FOR BENEFITS December 31, 2025 and 2024 (Dollars in thousands)</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13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2025</w:t>
            </w:r>
          </w:p>
        </w:tc>
        <w:tc>
          <w:tcPr>
            <w:tcW w:w="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72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0"/>
        </w:trPr>
        <w:tc>
          <w:tcPr>
            <w:tcW w:w="6900" w:type="dxa"/>
            <w:vAlign w:val="bottom"/>
            <w:vMerge w:val="continue"/>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Plan’s interest in Fortune Brands Innovations, Inc.</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Defined Contribution Master Trust</w:t>
            </w:r>
          </w:p>
        </w:tc>
        <w:tc>
          <w:tcPr>
            <w:tcW w:w="13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69,938</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64,323</w:t>
            </w:r>
          </w:p>
        </w:tc>
        <w:tc>
          <w:tcPr>
            <w:tcW w:w="0" w:type="dxa"/>
            <w:vAlign w:val="bottom"/>
          </w:tcPr>
          <w:p>
            <w:pPr>
              <w:spacing w:after="0"/>
              <w:rPr>
                <w:sz w:val="1"/>
                <w:szCs w:val="1"/>
                <w:color w:val="auto"/>
              </w:rPr>
            </w:pPr>
          </w:p>
        </w:tc>
      </w:tr>
      <w:tr>
        <w:trPr>
          <w:trHeight w:val="229"/>
        </w:trPr>
        <w:tc>
          <w:tcPr>
            <w:tcW w:w="690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Receivables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Company contributions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904</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w:t>
            </w:r>
          </w:p>
        </w:tc>
        <w:tc>
          <w:tcPr>
            <w:tcW w:w="0" w:type="dxa"/>
            <w:vAlign w:val="bottom"/>
          </w:tcPr>
          <w:p>
            <w:pPr>
              <w:spacing w:after="0"/>
              <w:rPr>
                <w:sz w:val="1"/>
                <w:szCs w:val="1"/>
                <w:color w:val="auto"/>
              </w:rPr>
            </w:pPr>
          </w:p>
        </w:tc>
      </w:tr>
      <w:tr>
        <w:trPr>
          <w:trHeight w:val="229"/>
        </w:trPr>
        <w:tc>
          <w:tcPr>
            <w:tcW w:w="69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52"/>
        </w:trPr>
        <w:tc>
          <w:tcPr>
            <w:tcW w:w="69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13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3,464</w:t>
            </w: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3,223</w:t>
            </w:r>
          </w:p>
        </w:tc>
        <w:tc>
          <w:tcPr>
            <w:tcW w:w="0" w:type="dxa"/>
            <w:vAlign w:val="bottom"/>
          </w:tcPr>
          <w:p>
            <w:pPr>
              <w:spacing w:after="0"/>
              <w:rPr>
                <w:sz w:val="1"/>
                <w:szCs w:val="1"/>
                <w:color w:val="auto"/>
              </w:rPr>
            </w:pPr>
          </w:p>
        </w:tc>
      </w:tr>
      <w:tr>
        <w:trPr>
          <w:trHeight w:val="223"/>
        </w:trPr>
        <w:tc>
          <w:tcPr>
            <w:tcW w:w="6900" w:type="dxa"/>
            <w:vAlign w:val="bottom"/>
          </w:tcPr>
          <w:p>
            <w:pPr>
              <w:ind w:left="880"/>
              <w:spacing w:after="0" w:line="223" w:lineRule="exact"/>
              <w:rPr>
                <w:sz w:val="20"/>
                <w:szCs w:val="20"/>
                <w:color w:val="auto"/>
              </w:rPr>
            </w:pPr>
            <w:r>
              <w:rPr>
                <w:rFonts w:ascii="Times New Roman" w:cs="Times New Roman" w:eastAsia="Times New Roman" w:hAnsi="Times New Roman"/>
                <w:sz w:val="20"/>
                <w:szCs w:val="20"/>
                <w:color w:val="auto"/>
              </w:rPr>
              <w:t>Total receivables</w:t>
            </w:r>
          </w:p>
        </w:tc>
        <w:tc>
          <w:tcPr>
            <w:tcW w:w="1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4,368</w:t>
            </w:r>
          </w:p>
        </w:tc>
        <w:tc>
          <w:tcPr>
            <w:tcW w:w="2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4,169</w:t>
            </w:r>
          </w:p>
        </w:tc>
        <w:tc>
          <w:tcPr>
            <w:tcW w:w="0" w:type="dxa"/>
            <w:vAlign w:val="bottom"/>
          </w:tcPr>
          <w:p>
            <w:pPr>
              <w:spacing w:after="0"/>
              <w:rPr>
                <w:sz w:val="1"/>
                <w:szCs w:val="1"/>
                <w:color w:val="auto"/>
              </w:rPr>
            </w:pPr>
          </w:p>
        </w:tc>
      </w:tr>
      <w:tr>
        <w:trPr>
          <w:trHeight w:val="453"/>
        </w:trPr>
        <w:tc>
          <w:tcPr>
            <w:tcW w:w="69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1300" w:type="dxa"/>
            <w:vAlign w:val="bottom"/>
          </w:tcPr>
          <w:p>
            <w:pPr>
              <w:jc w:val="right"/>
              <w:ind w:right="1101"/>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74,306</w:t>
            </w:r>
          </w:p>
        </w:tc>
        <w:tc>
          <w:tcPr>
            <w:tcW w:w="66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68,492</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color w:val="auto"/>
        </w:rPr>
        <w:t>The accompanying notes are an integral part of these statements.</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4" w:right="459" w:bottom="1440" w:gutter="0" w:footer="0" w:header="0"/>
        </w:sectPr>
      </w:pPr>
    </w:p>
    <w:bookmarkStart w:id="4" w:name="page5"/>
    <w:bookmarkEnd w:id="4"/>
    <w:p>
      <w:pPr>
        <w:ind w:left="20" w:right="4240"/>
        <w:spacing w:after="0" w:line="256" w:lineRule="auto"/>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 STATEMENTS OF CHANGES IN NET ASSETS AVAILABLE FOR BENEFITS Years ended December 31, 2025 and 2024 (Dollars in thousands)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Additions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2024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69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Change in Plan’s interest in Fortune Brands Innovations, Inc.</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560"/>
              <w:spacing w:after="0"/>
              <w:rPr>
                <w:sz w:val="20"/>
                <w:szCs w:val="20"/>
                <w:color w:val="auto"/>
              </w:rPr>
            </w:pPr>
            <w:r>
              <w:rPr>
                <w:rFonts w:ascii="Times New Roman" w:cs="Times New Roman" w:eastAsia="Times New Roman" w:hAnsi="Times New Roman"/>
                <w:sz w:val="20"/>
                <w:szCs w:val="20"/>
                <w:color w:val="auto"/>
              </w:rPr>
              <w:t>Defined Contribution Master Trust</w:t>
            </w:r>
          </w:p>
        </w:tc>
        <w:tc>
          <w:tcPr>
            <w:tcW w:w="1180" w:type="dxa"/>
            <w:vAlign w:val="bottom"/>
            <w:gridSpan w:val="2"/>
          </w:tcPr>
          <w:p>
            <w:pPr>
              <w:jc w:val="right"/>
              <w:ind w:right="998"/>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9,471</w:t>
            </w:r>
          </w:p>
        </w:tc>
        <w:tc>
          <w:tcPr>
            <w:tcW w:w="100" w:type="dxa"/>
            <w:vAlign w:val="bottom"/>
          </w:tcPr>
          <w:p>
            <w:pPr>
              <w:spacing w:after="0"/>
              <w:rPr>
                <w:sz w:val="19"/>
                <w:szCs w:val="19"/>
                <w:color w:val="auto"/>
              </w:rPr>
            </w:pPr>
          </w:p>
        </w:tc>
        <w:tc>
          <w:tcPr>
            <w:tcW w:w="86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Company contributions</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4,694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Rollover contributions</w:t>
            </w:r>
          </w:p>
        </w:tc>
        <w:tc>
          <w:tcPr>
            <w:tcW w:w="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additions</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18,204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15,276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Administrative expense</w:t>
            </w:r>
          </w:p>
        </w:tc>
        <w:tc>
          <w:tcPr>
            <w:tcW w:w="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Total deductions</w:t>
            </w:r>
          </w:p>
        </w:tc>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6"/>
        </w:trPr>
        <w:tc>
          <w:tcPr>
            <w:tcW w:w="6940" w:type="dxa"/>
            <w:vAlign w:val="bottom"/>
          </w:tcPr>
          <w:p>
            <w:pPr>
              <w:ind w:left="760"/>
              <w:spacing w:after="0"/>
              <w:rPr>
                <w:sz w:val="20"/>
                <w:szCs w:val="20"/>
                <w:color w:val="auto"/>
              </w:rPr>
            </w:pPr>
            <w:r>
              <w:rPr>
                <w:rFonts w:ascii="Times New Roman" w:cs="Times New Roman" w:eastAsia="Times New Roman" w:hAnsi="Times New Roman"/>
                <w:sz w:val="20"/>
                <w:szCs w:val="20"/>
                <w:color w:val="auto"/>
              </w:rPr>
              <w:t>Net increase prior to transfers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Transfers from the Plan, net (See Note C)</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(88)</w:t>
            </w: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458"/>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5,814</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5,223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94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4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Beginning of year</w:t>
            </w:r>
          </w:p>
        </w:tc>
        <w:tc>
          <w:tcPr>
            <w:tcW w:w="20" w:type="dxa"/>
            <w:vAlign w:val="bottom"/>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63,269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420"/>
              <w:spacing w:after="0" w:line="223" w:lineRule="exact"/>
              <w:rPr>
                <w:sz w:val="20"/>
                <w:szCs w:val="20"/>
                <w:color w:val="auto"/>
              </w:rPr>
            </w:pPr>
            <w:r>
              <w:rPr>
                <w:rFonts w:ascii="Times New Roman" w:cs="Times New Roman" w:eastAsia="Times New Roman" w:hAnsi="Times New Roman"/>
                <w:sz w:val="20"/>
                <w:szCs w:val="20"/>
                <w:color w:val="auto"/>
              </w:rPr>
              <w:t>End of year</w:t>
            </w:r>
          </w:p>
        </w:tc>
        <w:tc>
          <w:tcPr>
            <w:tcW w:w="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8"/>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74,306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Borders>
              <w:bottom w:val="single" w:sz="8" w:color="auto"/>
            </w:tcBorders>
          </w:tcPr>
          <w:p>
            <w:pPr>
              <w:jc w:val="right"/>
              <w:ind w:right="22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68,492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color w:val="auto"/>
        </w:rPr>
        <w:t>The accompanying notes are an integral part of these statements.</w:t>
      </w:r>
    </w:p>
    <w:p>
      <w:pPr>
        <w:spacing w:after="0" w:line="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4" w:right="37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A—DESCRIPTION OF PLAN</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provides a brief description of the Plan. Participants should refer to the Plan document for a more complete description of the Plan’s provisions.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Fortune Brands Innovations, Inc. is a leading home, security and digital products company whose purpose is to elevate every life by transforming spaces into havens (“Fortune Brands”).</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Fortune Brands maintains a tax-qualified defined contribution retirement plan covering eligible employees of Fortune Brands and its operating companies named the Fortune Brands Innovations Hourly Employee Retirement Savings Plan (the “Plan”). The name of the Plan was changed from Fortune Brands Home &amp; Security Hourly Employee Retirement Savings Plan following the Fortune Brands’ name change in December 2022. The Plan is designed to encourage and facilitate systematic savings and investment by eligible employees for their retirement. The Plan is maintained by Fortune Brands and is intended to comply with Section 401(a) of the Internal Revenue Code of 1986, as amended (the “Code”), and is subject to various provisions of the Code and the Employee Retirement Income Security Act of 1974, as amended (“ERISA”). The Fortune Brands Employee Benefits Committee serves as the Plan’s administrator (“Plan Administrator”).</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Fortune Brands and each of its operating companies that participate in the Plan are referred to collectively as the “Companies” and individually as a “Company.” Operating companies that participated in the Plan during the years ended December 31, 2025 and/or 2024 included: Fortune Brands Water Innovations, LLC (“FBWI”); Moen Incorporated (“Moen”); Rohl LLC (“Rohl”); Victoria &amp; Albert Bath LLC (“Victoria &amp; Albert”); Fiber Composites, LLC (“Fiberon”), and the hourly-paid production employees of AEI, LLC and Comfort Bilt, LLC (collectively, “Larson”).</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Plan’s assets are held in the Fortune Brands Innovations, Inc. Defined Contribution Master Trust (the “Master Trust”), along with the assets of the Fortune Brands Innovations Retirement Savings Plan and the remaining assets of the Larson Manufacturing Company Employee Profit Sharing Plan, for investment purposes. The Master Trust investments are administered and held by Fidelity Management Trust Company (the “Trustee” or “Fidelity”).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233" w:lineRule="exact"/>
        <w:rPr>
          <w:sz w:val="20"/>
          <w:szCs w:val="20"/>
          <w:color w:val="auto"/>
        </w:rPr>
      </w:pPr>
    </w:p>
    <w:p>
      <w:pPr>
        <w:jc w:val="both"/>
        <w:ind w:left="100" w:right="120"/>
        <w:spacing w:after="0" w:line="243" w:lineRule="auto"/>
        <w:rPr>
          <w:sz w:val="20"/>
          <w:szCs w:val="20"/>
          <w:color w:val="auto"/>
        </w:rPr>
      </w:pPr>
      <w:r>
        <w:rPr>
          <w:rFonts w:ascii="Times New Roman" w:cs="Times New Roman" w:eastAsia="Times New Roman" w:hAnsi="Times New Roman"/>
          <w:sz w:val="20"/>
          <w:szCs w:val="20"/>
          <w:color w:val="auto"/>
        </w:rPr>
        <w:t>Plan contributions are held by the Trustee and accumulated in individual participant accounts. Pursuant to the terms of the Plan, participants may make tax-deferred contributions and/or Roth 401(k) contributions of up to 50% of their “eligible compensation” (as defined under the Plan), subject to lower limits for “highly compensated employees” (as defined under the Code). In 2025 and 2024, the sum of each participant’s annual tax-deferred contributions and Roth 401(k) contributions were limited by the Code to $23.5 and $23, respectively. During the year in which a participant attains age 50 (and in subsequent years), the participant may elect to make additional unmatched, pretax “catch up” contributions and/or Roth “catch up” contributions. In both 2025 and 2024, participants that met this requirement were permitted to make “catch up” contributions of up to $7.5. As part of the SECURE 2.0 Act, effective for 2025, individuals aged 60 through 63 were allowed to have a higher catch-up limit of $11.25.</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774" w:right="7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2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Plan permits participants to make after-tax contributions, and to elect to automatically make after-tax contributions after reaching the dollar limitation on tax-deferred contributions and/or Roth 401(k) contributions. The sum of tax-deferred contributions, Roth 401(k) contributions and after-tax contributions may not exceed 50% of the participant’s total eligible compensation (lower limitations apply to participants who are highly compensated employees).</w:t>
      </w:r>
    </w:p>
    <w:p>
      <w:pPr>
        <w:spacing w:after="0" w:line="207"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Participants eligible to make tax-deferred contributions and/or Roth 401(k) contributions may roll over balances from another eligible tax-qualified retirement plan or individual retirement account into the Plan.</w:t>
      </w:r>
    </w:p>
    <w:p>
      <w:pPr>
        <w:spacing w:after="0" w:line="173" w:lineRule="exact"/>
        <w:rPr>
          <w:sz w:val="20"/>
          <w:szCs w:val="20"/>
          <w:color w:val="auto"/>
        </w:rPr>
      </w:pPr>
    </w:p>
    <w:p>
      <w:pPr>
        <w:jc w:val="both"/>
        <w:ind w:left="80"/>
        <w:spacing w:after="0" w:line="243" w:lineRule="auto"/>
        <w:rPr>
          <w:sz w:val="20"/>
          <w:szCs w:val="20"/>
          <w:color w:val="auto"/>
        </w:rPr>
      </w:pPr>
      <w:r>
        <w:rPr>
          <w:rFonts w:ascii="Times New Roman" w:cs="Times New Roman" w:eastAsia="Times New Roman" w:hAnsi="Times New Roman"/>
          <w:sz w:val="20"/>
          <w:szCs w:val="20"/>
          <w:color w:val="auto"/>
        </w:rPr>
        <w:t>Eligible employees who have neither enrolled in the Plan nor affirmatively declined enrollment in the Plan are automatically enrolled and are deemed to have elected to make tax-deferred contributions equal to 4% of their eligible compensation. In addition, participants who are automatically enrolled have their contribution rate increased by 1% (unless it would cause the participant’s deferral rate to exceed 10%) annually in May unless they affirmatively declined participation in the automatic increase program. Participants that affirmatively elect to participate in the automatic deferral increase program may elect to increase their contributions by between 1% and 6% each year until they reach the maximum allowable percentage described above. Participants may elect to change or discontinue their participation in the automatic enrollment and automatic deferral rate increase programs at any time. Effective January 1, 2025, the Plan was amended to increase the initial automatic deferral percentage from 3% to 4%, and to increase the maximum deferral rate from 6% to 10% as noted above.</w:t>
      </w:r>
    </w:p>
    <w:p>
      <w:pPr>
        <w:spacing w:after="0" w:line="186"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In 2025 and 2024, the Companies made a matching contribution (in varying amounts stated in the Plan document) on a participant’s elective contributions. Moen, Rohl and Victoria &amp; Albert made a profit-sharing contribution on behalf of its eligible employees in 2025 and 2024.</w:t>
      </w:r>
    </w:p>
    <w:p>
      <w:pPr>
        <w:spacing w:after="0" w:line="188"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The Plan makes various investment funds available to participants to direct the investment of their accounts, including a Company stock fund, which gives participants the option to purchase shares of Fortune Brands Common Stock. The Plan has designated the Fortune Brands Common Stock Fund in the Plan as being held by an employee stock ownership plan.</w:t>
      </w:r>
    </w:p>
    <w:p>
      <w:pPr>
        <w:spacing w:after="0" w:line="188"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Participant account balances are maintained to reflect each participant’s beneficial interest in each of the investment funds available under the Plan. Participant account balances are increased by Company and participant contributions (including rollovers) and decreased by the amount of withdrawals and distributions. Income and losses on Plan assets are allocated to participants’ accounts based on the ratio of each participant’s account balance invested in an investment fund to the total of all participants’ account balances invested in that fund as of the preceding valuation date.</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233"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Participant contributions and earnings on those contributions vest immediately. For all Companies that provide a matching contribution, vesting in the Company matching contribution and earnings on those contributions occurs upon the earliest of the following:</w:t>
      </w:r>
    </w:p>
    <w:p>
      <w:pPr>
        <w:spacing w:after="0" w:line="18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(1) retirement under a Company pension plan or after attainment of age 55 and 5 years of service; (2) death;</w:t>
      </w:r>
    </w:p>
    <w:p>
      <w:pPr>
        <w:spacing w:after="0" w:line="22" w:lineRule="exact"/>
        <w:rPr>
          <w:sz w:val="20"/>
          <w:szCs w:val="20"/>
          <w:color w:val="auto"/>
        </w:rPr>
      </w:pPr>
    </w:p>
    <w:p>
      <w:pPr>
        <w:ind w:left="80" w:firstLine="2"/>
        <w:spacing w:after="0" w:line="246" w:lineRule="auto"/>
        <w:tabs>
          <w:tab w:leader="none" w:pos="41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employment due to disability; (4) attainment of normal retirement age (generally 65); (5) termination of employment without fault, and (6) after one year of service.</w:t>
      </w:r>
    </w:p>
    <w:p>
      <w:pPr>
        <w:spacing w:after="0" w:line="18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37" w:lineRule="exact"/>
        <w:rPr>
          <w:sz w:val="20"/>
          <w:szCs w:val="20"/>
          <w:color w:val="auto"/>
        </w:rPr>
      </w:pPr>
    </w:p>
    <w:p>
      <w:pPr>
        <w:jc w:val="both"/>
        <w:ind w:left="80"/>
        <w:spacing w:after="0" w:line="244" w:lineRule="auto"/>
        <w:rPr>
          <w:sz w:val="20"/>
          <w:szCs w:val="20"/>
          <w:color w:val="auto"/>
        </w:rPr>
      </w:pPr>
      <w:r>
        <w:rPr>
          <w:rFonts w:ascii="Times New Roman" w:cs="Times New Roman" w:eastAsia="Times New Roman" w:hAnsi="Times New Roman"/>
          <w:sz w:val="20"/>
          <w:szCs w:val="20"/>
          <w:color w:val="auto"/>
        </w:rPr>
        <w:t>Vesting in matching contributions made on behalf of Rohl employees prior to August 1, 2017 and earnings on those contributions occurs on the first of the following: (1) attainment of age 59-1/2; (2) termination of employment by reason of disability; (3) death; and (4) completion of five years of vesting service. Vesting in matching contributions made on behalf of Fiberon employees prior to November 1, 2019 and earnings on those contributions occurs on the first of the following: (1) termination of employment by reason of disability; (2) death; and (3) completion of five years of vesting service. Vesting in matching contributions made on behalf of Larson employees occurs on the first of the following (1) attainment of age 55 while employed; (2) termination of employment by reason of disability; (3) death; and (4) completion of six years of vesting service.</w:t>
      </w:r>
    </w:p>
    <w:p>
      <w:pPr>
        <w:spacing w:after="0" w:line="199"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Moen, Rohl and Victoria &amp; Albert employees are 100% vested in their profit-sharing contributions after completing three years of service.</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Forfeitures</w:t>
      </w:r>
    </w:p>
    <w:p>
      <w:pPr>
        <w:spacing w:after="0" w:line="23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Forfeited non-vested accounts totaled $27 and $59 on December 31, 2025 and 2024, respectively. These accounts are used to reduce future Company contributions or to pay Plan expenses. Forfeitures totaling $50 and $0 were used to reduce Company contributions in 2025 and 2024, respectively. Plan expenses were reduced by $63 and $98 during the years ended December 31, 2025 and 2024, respectively, from forfeited non-vested accounts.</w:t>
      </w:r>
    </w:p>
    <w:p>
      <w:pPr>
        <w:spacing w:after="0" w:line="1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233"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A participant may apply for up to two loans of at least $1 each from the vested portion of the participant’s account balance (excluding the portion in certain subaccounts). Loan amounts may not exceed the lesser of one-half of the participant’s vested balance or $50 where the maximum is reduced by the participant’s highest outstanding loan balance on any loans during the preceding twelve months. The term of any loan shall not exceed five years, unless the loan is related to the purchase of the participant’s principal residence, in which case the term of the loan shall not exceed ten years.</w:t>
      </w:r>
    </w:p>
    <w:p>
      <w:pPr>
        <w:spacing w:after="0" w:line="198"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Each loan bears a rate of interest commensurate with prevailing market rates at the time of issuance. Repayment is made through payroll deductions so that the loan is repaid evenly over the term of the loan.</w:t>
      </w:r>
    </w:p>
    <w:p>
      <w:pPr>
        <w:spacing w:after="0" w:line="16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Distributions and Withdrawals</w:t>
      </w:r>
    </w:p>
    <w:p>
      <w:pPr>
        <w:spacing w:after="0" w:line="233"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Benefits are distributed from a participant’s account upon a participant’s death, retirement or other termination of employment and may be payable in cash (generally, in a lump sum or installment payments and in some cases in the form of an annuity) or rolled over (into a traditional or Roth IRA). The Plan also permits in-service withdrawals to be made by participants who are employed by one of the Companies and who have incurred a “hardship” as defined in the Plan, who have attained age 59-1/2, or who are performing qualified military service, as described in the Plan.</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NOTE B—SUMMARY OF SIGNIFICANT ACCOUNTING POLICIES</w:t>
      </w:r>
    </w:p>
    <w:p>
      <w:pPr>
        <w:spacing w:after="0" w:line="22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Basis of Accounting</w:t>
      </w:r>
    </w:p>
    <w:p>
      <w:pPr>
        <w:spacing w:after="0" w:line="233"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color w:val="auto"/>
        </w:rPr>
        <w:t>The accompanying financial statements have been prepared on the accrual basis of accounting in accordance with U.S. generally accepted accounting principles (“GAAP”).</w:t>
      </w:r>
    </w:p>
    <w:p>
      <w:pPr>
        <w:spacing w:after="0" w:line="16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Contributions and Contributions Receivable</w:t>
      </w:r>
    </w:p>
    <w:p>
      <w:pPr>
        <w:spacing w:after="0" w:line="233" w:lineRule="exact"/>
        <w:rPr>
          <w:sz w:val="20"/>
          <w:szCs w:val="20"/>
          <w:color w:val="auto"/>
        </w:rPr>
      </w:pPr>
    </w:p>
    <w:p>
      <w:pPr>
        <w:jc w:val="both"/>
        <w:ind w:left="80" w:right="420"/>
        <w:spacing w:after="0" w:line="249" w:lineRule="auto"/>
        <w:rPr>
          <w:sz w:val="20"/>
          <w:szCs w:val="20"/>
          <w:color w:val="auto"/>
        </w:rPr>
      </w:pPr>
      <w:r>
        <w:rPr>
          <w:rFonts w:ascii="Times New Roman" w:cs="Times New Roman" w:eastAsia="Times New Roman" w:hAnsi="Times New Roman"/>
          <w:sz w:val="20"/>
          <w:szCs w:val="20"/>
          <w:color w:val="auto"/>
        </w:rPr>
        <w:t>The contributions are recorded on the accrual method of accounting. Contributions receivable are obligations arising from amounts owed to the Plan that have not been included in the Plan's investments at year end. Employee contributions, and any related Company matching contributions, are recorded when the contributions are withheld from compensation. Profit-sharing are recorded in the period that the related compensation was paid to the participant.</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33" w:lineRule="exact"/>
        <w:rPr>
          <w:sz w:val="20"/>
          <w:szCs w:val="20"/>
          <w:color w:val="auto"/>
        </w:rPr>
      </w:pPr>
    </w:p>
    <w:p>
      <w:pPr>
        <w:jc w:val="both"/>
        <w:ind w:left="80" w:right="420"/>
        <w:spacing w:after="0" w:line="254" w:lineRule="auto"/>
        <w:rPr>
          <w:sz w:val="20"/>
          <w:szCs w:val="20"/>
          <w:color w:val="auto"/>
        </w:rPr>
      </w:pPr>
      <w:r>
        <w:rPr>
          <w:rFonts w:ascii="Times New Roman" w:cs="Times New Roman" w:eastAsia="Times New Roman" w:hAnsi="Times New Roman"/>
          <w:sz w:val="20"/>
          <w:szCs w:val="20"/>
          <w:color w:val="auto"/>
        </w:rPr>
        <w:t>The preparation of the Plan’s financial statements in conformity with GAAP requires the Plan Administrator to make estimates and assumptions that affect the reported amounts of net assets available for Plan benefits and the changes in net assets available for Plan benefits and, when applicable, the disclosures of contingent assets and liabilities. Actual results could differ from those estimates.</w:t>
      </w:r>
    </w:p>
    <w:p>
      <w:pPr>
        <w:spacing w:after="0" w:line="1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Investment Valuation</w:t>
      </w:r>
    </w:p>
    <w:p>
      <w:pPr>
        <w:spacing w:after="0" w:line="233" w:lineRule="exact"/>
        <w:rPr>
          <w:sz w:val="20"/>
          <w:szCs w:val="20"/>
          <w:color w:val="auto"/>
        </w:rPr>
      </w:pPr>
    </w:p>
    <w:p>
      <w:pPr>
        <w:jc w:val="both"/>
        <w:ind w:left="80" w:right="420"/>
        <w:spacing w:after="0" w:line="249" w:lineRule="auto"/>
        <w:rPr>
          <w:sz w:val="20"/>
          <w:szCs w:val="20"/>
          <w:color w:val="auto"/>
        </w:rPr>
      </w:pPr>
      <w:r>
        <w:rPr>
          <w:rFonts w:ascii="Times New Roman" w:cs="Times New Roman" w:eastAsia="Times New Roman" w:hAnsi="Times New Roman"/>
          <w:sz w:val="20"/>
          <w:szCs w:val="20"/>
          <w:color w:val="auto"/>
        </w:rPr>
        <w:t>The Plan’s investments are reflected at fair value. Fair value is defined as the price that would be (i) received to sell an asset, or (ii) paid to transfer a liability (an exit price) in an orderly transaction between market participants at the measurement date in the principal or most advantageous market for the asset or liability. Inputs are used in applying the various valuation techniques and broadly refer to the assumptions that market participants use to make valuation decisions, including assumptions about risk.</w:t>
      </w:r>
    </w:p>
    <w:p>
      <w:pPr>
        <w:spacing w:after="0" w:line="189" w:lineRule="exact"/>
        <w:rPr>
          <w:sz w:val="20"/>
          <w:szCs w:val="20"/>
          <w:color w:val="auto"/>
        </w:rPr>
      </w:pPr>
    </w:p>
    <w:p>
      <w:pPr>
        <w:jc w:val="both"/>
        <w:ind w:left="80" w:right="420"/>
        <w:spacing w:after="0" w:line="250" w:lineRule="auto"/>
        <w:rPr>
          <w:sz w:val="20"/>
          <w:szCs w:val="20"/>
          <w:color w:val="auto"/>
        </w:rPr>
      </w:pPr>
      <w:r>
        <w:rPr>
          <w:rFonts w:ascii="Times New Roman" w:cs="Times New Roman" w:eastAsia="Times New Roman" w:hAnsi="Times New Roman"/>
          <w:sz w:val="20"/>
          <w:szCs w:val="20"/>
          <w:color w:val="auto"/>
        </w:rPr>
        <w:t xml:space="preserve">The Plan’s management follows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which established a three-tiered hierarchy of inputs to establish a classification of fair value measurements for disclosure purposes. The hierarchy gives the highest priority to unadjusted quoted prices in active markets for identical assets or liabilities (Level 1 measurements) and the lowest priority to unobservable inputs (Level 3 measurements).</w:t>
      </w:r>
    </w:p>
    <w:p>
      <w:pPr>
        <w:spacing w:after="0" w:line="1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three levels of the fair value hierarchy are as follows:</w:t>
      </w:r>
    </w:p>
    <w:p>
      <w:pPr>
        <w:spacing w:after="0" w:line="229" w:lineRule="exact"/>
        <w:rPr>
          <w:sz w:val="20"/>
          <w:szCs w:val="20"/>
          <w:color w:val="auto"/>
        </w:rPr>
      </w:pPr>
    </w:p>
    <w:p>
      <w:pPr>
        <w:jc w:val="both"/>
        <w:ind w:left="80" w:right="420"/>
        <w:spacing w:after="0" w:line="254" w:lineRule="auto"/>
        <w:rPr>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xml:space="preserve"> inputs are unadjusted quoted prices in active markets for identical assets or liabilities that the reporting entity has the ability to access at the measurement date. An active market for the asset or liability is a market in which transactions for the asset or liability occur with sufficient frequency and volume to provide pricing information on an ongoing basis.</w:t>
      </w:r>
    </w:p>
    <w:p>
      <w:pPr>
        <w:spacing w:after="0" w:line="188" w:lineRule="exact"/>
        <w:rPr>
          <w:sz w:val="20"/>
          <w:szCs w:val="20"/>
          <w:color w:val="auto"/>
        </w:rPr>
      </w:pPr>
    </w:p>
    <w:p>
      <w:pPr>
        <w:ind w:left="80"/>
        <w:spacing w:after="0" w:line="250" w:lineRule="auto"/>
        <w:rPr>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xml:space="preserve"> inputs are other than quoted prices included within Level 1 that are observable for the asset or liability, either directly or indirectly, including:</w:t>
      </w:r>
    </w:p>
    <w:p>
      <w:pPr>
        <w:spacing w:after="0" w:line="1" w:lineRule="exact"/>
        <w:rPr>
          <w:sz w:val="20"/>
          <w:szCs w:val="20"/>
          <w:color w:val="auto"/>
        </w:rPr>
      </w:pPr>
    </w:p>
    <w:p>
      <w:pPr>
        <w:ind w:left="1540" w:hanging="50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ind w:left="1540" w:hanging="504"/>
        <w:spacing w:after="0"/>
        <w:tabs>
          <w:tab w:leader="none" w:pos="15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ind w:left="1520" w:hanging="484"/>
        <w:spacing w:after="0"/>
        <w:tabs>
          <w:tab w:leader="none" w:pos="1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assets or liabilities (including volatilities).</w:t>
      </w:r>
    </w:p>
    <w:p>
      <w:pPr>
        <w:ind w:left="1520" w:hanging="484"/>
        <w:spacing w:after="0"/>
        <w:tabs>
          <w:tab w:leader="none" w:pos="15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07" w:lineRule="exact"/>
        <w:rPr>
          <w:sz w:val="20"/>
          <w:szCs w:val="20"/>
          <w:color w:val="auto"/>
        </w:rPr>
      </w:pPr>
    </w:p>
    <w:p>
      <w:pPr>
        <w:ind w:left="80" w:right="6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16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40" w:top="774"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23" w:lineRule="exact"/>
        <w:rPr>
          <w:sz w:val="20"/>
          <w:szCs w:val="20"/>
          <w:color w:val="auto"/>
        </w:rPr>
      </w:pPr>
    </w:p>
    <w:p>
      <w:pPr>
        <w:jc w:val="both"/>
        <w:ind w:left="80"/>
        <w:spacing w:after="0" w:line="269" w:lineRule="auto"/>
        <w:rPr>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xml:space="preserve"> inputs are unobservable for the asset or liability (including the entity’s own assumptions about the assumptions that market participants would use in pricing the asset or liability) and significant to the fair value measurement.</w:t>
      </w:r>
    </w:p>
    <w:p>
      <w:pPr>
        <w:spacing w:after="0" w:line="186" w:lineRule="exact"/>
        <w:rPr>
          <w:sz w:val="20"/>
          <w:szCs w:val="20"/>
          <w:color w:val="auto"/>
        </w:rPr>
      </w:pPr>
    </w:p>
    <w:p>
      <w:pPr>
        <w:jc w:val="both"/>
        <w:ind w:left="80"/>
        <w:spacing w:after="0" w:line="25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8" w:lineRule="exact"/>
        <w:rPr>
          <w:sz w:val="20"/>
          <w:szCs w:val="20"/>
          <w:color w:val="auto"/>
        </w:rPr>
      </w:pPr>
    </w:p>
    <w:p>
      <w:pPr>
        <w:ind w:left="80" w:right="240"/>
        <w:spacing w:after="0" w:line="269" w:lineRule="auto"/>
        <w:rPr>
          <w:sz w:val="20"/>
          <w:szCs w:val="20"/>
          <w:color w:val="auto"/>
        </w:rPr>
      </w:pPr>
      <w:r>
        <w:rPr>
          <w:rFonts w:ascii="Times New Roman" w:cs="Times New Roman" w:eastAsia="Times New Roman" w:hAnsi="Times New Roman"/>
          <w:sz w:val="20"/>
          <w:szCs w:val="20"/>
          <w:color w:val="auto"/>
        </w:rPr>
        <w:t>The Plan’s interest in the Master Trust at December 31, 2025 and 2024 is presented at fair value, which has been determined based on the fair value of the underlying investments of the Master Trust.</w:t>
      </w:r>
    </w:p>
    <w:p>
      <w:pPr>
        <w:spacing w:after="0" w:line="159" w:lineRule="exact"/>
        <w:rPr>
          <w:sz w:val="20"/>
          <w:szCs w:val="20"/>
          <w:color w:val="auto"/>
        </w:rPr>
      </w:pPr>
    </w:p>
    <w:p>
      <w:pPr>
        <w:ind w:left="80" w:right="140"/>
        <w:spacing w:after="0" w:line="269" w:lineRule="auto"/>
        <w:rPr>
          <w:sz w:val="20"/>
          <w:szCs w:val="20"/>
          <w:color w:val="auto"/>
        </w:rPr>
      </w:pPr>
      <w:r>
        <w:rPr>
          <w:rFonts w:ascii="Times New Roman" w:cs="Times New Roman" w:eastAsia="Times New Roman" w:hAnsi="Times New Roman"/>
          <w:sz w:val="20"/>
          <w:szCs w:val="20"/>
          <w:color w:val="auto"/>
        </w:rPr>
        <w:t>Plan management uses the following methods and significant assumptions to estimate fair value of investments. There have been no changes in the methodologies used at December 31, 2025 and 2024.</w:t>
      </w:r>
    </w:p>
    <w:p>
      <w:pPr>
        <w:spacing w:after="0" w:line="17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The investments held by the Master Trust are valued as follows:</w:t>
      </w:r>
    </w:p>
    <w:p>
      <w:pPr>
        <w:spacing w:after="0" w:line="391"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20"/>
          <w:szCs w:val="20"/>
          <w:u w:val="single" w:color="auto"/>
          <w:color w:val="auto"/>
        </w:rPr>
        <w:t>Mutual funds</w:t>
      </w:r>
      <w:r>
        <w:rPr>
          <w:rFonts w:ascii="Times New Roman" w:cs="Times New Roman" w:eastAsia="Times New Roman" w:hAnsi="Times New Roman"/>
          <w:sz w:val="20"/>
          <w:szCs w:val="20"/>
          <w:color w:val="auto"/>
        </w:rPr>
        <w:t>: Valued at the net asset value (“NAV”) of shares held by the plan at year end, which is obtained from an active market.</w:t>
      </w:r>
    </w:p>
    <w:p>
      <w:pPr>
        <w:spacing w:after="0" w:line="240" w:lineRule="exact"/>
        <w:rPr>
          <w:sz w:val="20"/>
          <w:szCs w:val="20"/>
          <w:color w:val="auto"/>
        </w:rPr>
      </w:pPr>
    </w:p>
    <w:p>
      <w:pPr>
        <w:jc w:val="both"/>
        <w:ind w:left="740"/>
        <w:spacing w:after="0" w:line="244" w:lineRule="auto"/>
        <w:rPr>
          <w:sz w:val="20"/>
          <w:szCs w:val="20"/>
          <w:color w:val="auto"/>
        </w:rPr>
      </w:pPr>
      <w:r>
        <w:rPr>
          <w:rFonts w:ascii="Times New Roman" w:cs="Times New Roman" w:eastAsia="Times New Roman" w:hAnsi="Times New Roman"/>
          <w:sz w:val="20"/>
          <w:szCs w:val="20"/>
          <w:u w:val="single" w:color="auto"/>
          <w:color w:val="auto"/>
        </w:rPr>
        <w:t>Collective trust funds</w:t>
      </w:r>
      <w:r>
        <w:rPr>
          <w:rFonts w:ascii="Times New Roman" w:cs="Times New Roman" w:eastAsia="Times New Roman" w:hAnsi="Times New Roman"/>
          <w:sz w:val="20"/>
          <w:szCs w:val="20"/>
          <w:color w:val="auto"/>
        </w:rPr>
        <w:t>: Valued at the NAV of units of each bank collective trust. The NAV is used as a practical expedient to estimate fair value. The NAV, as provided by the Trustee, is based on the fair value of the underlying investments held by the funds less their liabilities. As of December 31, 2025 and 2024, there is no intention to sell or otherwise dispose of the investments in collective trust funds at prices different than their respective NAV. Participant transactions (purchases and sales) may occur daily. Were the Plan to initiate a full redemption of a collective trust, the investment advisor generally reserves the right to temporarily delay withdrawal from the trust in order to ensure that securities liquidations would be carried out in an orderly business manner.</w:t>
      </w:r>
    </w:p>
    <w:p>
      <w:pPr>
        <w:spacing w:after="0" w:line="21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Valued at the closing price reported on the active market on which the security is traded.</w:t>
      </w:r>
    </w:p>
    <w:p>
      <w:pPr>
        <w:spacing w:after="0" w:line="229" w:lineRule="exact"/>
        <w:rPr>
          <w:sz w:val="20"/>
          <w:szCs w:val="20"/>
          <w:color w:val="auto"/>
        </w:rPr>
      </w:pPr>
    </w:p>
    <w:p>
      <w:pPr>
        <w:jc w:val="both"/>
        <w:ind w:left="740"/>
        <w:spacing w:after="0" w:line="254" w:lineRule="auto"/>
        <w:rPr>
          <w:sz w:val="20"/>
          <w:szCs w:val="20"/>
          <w:color w:val="auto"/>
        </w:rPr>
      </w:pPr>
      <w:r>
        <w:rPr>
          <w:rFonts w:ascii="Times New Roman" w:cs="Times New Roman" w:eastAsia="Times New Roman" w:hAnsi="Times New Roman"/>
          <w:sz w:val="20"/>
          <w:szCs w:val="20"/>
          <w:u w:val="single" w:color="auto"/>
          <w:color w:val="auto"/>
        </w:rPr>
        <w:t>Self-directed brokerage accounts</w:t>
      </w:r>
      <w:r>
        <w:rPr>
          <w:rFonts w:ascii="Times New Roman" w:cs="Times New Roman" w:eastAsia="Times New Roman" w:hAnsi="Times New Roman"/>
          <w:sz w:val="20"/>
          <w:szCs w:val="20"/>
          <w:color w:val="auto"/>
        </w:rPr>
        <w:t>: Valued based on the underlying holdings which consist of similar investment types as those investments described above. The valuation is consistent and in accordance with the valuation methods described above.</w:t>
      </w:r>
    </w:p>
    <w:p>
      <w:pPr>
        <w:spacing w:after="0" w:line="188"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189" w:lineRule="exact"/>
        <w:rPr>
          <w:sz w:val="20"/>
          <w:szCs w:val="20"/>
          <w:color w:val="auto"/>
        </w:rPr>
      </w:pPr>
    </w:p>
    <w:p>
      <w:pPr>
        <w:jc w:val="both"/>
        <w:ind w:left="80"/>
        <w:spacing w:after="0" w:line="273" w:lineRule="auto"/>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i w:val="1"/>
          <w:iCs w:val="1"/>
          <w:color w:val="auto"/>
        </w:rPr>
        <w:t>Note D – Interest in Master Trust</w:t>
      </w:r>
      <w:r>
        <w:rPr>
          <w:rFonts w:ascii="Times New Roman" w:cs="Times New Roman" w:eastAsia="Times New Roman" w:hAnsi="Times New Roman"/>
          <w:sz w:val="20"/>
          <w:szCs w:val="20"/>
          <w:color w:val="auto"/>
        </w:rPr>
        <w:t xml:space="preserve"> for the investments held in the Master Trust as of December 31, 2025 and 2024, by level within the fair value hierarchy.</w:t>
      </w:r>
    </w:p>
    <w:p>
      <w:pPr>
        <w:spacing w:after="0" w:line="16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23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If a participant ceases to make loan repayments and the Plan Administrator deems the participant loan to be in default, the participant loan balance is reduced, and a benefit payment is recorded.</w:t>
      </w:r>
    </w:p>
    <w:p>
      <w:pPr>
        <w:spacing w:after="0" w:line="1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Income Recognition</w:t>
      </w:r>
    </w:p>
    <w:p>
      <w:pPr>
        <w:spacing w:after="0" w:line="233" w:lineRule="exact"/>
        <w:rPr>
          <w:sz w:val="20"/>
          <w:szCs w:val="20"/>
          <w:color w:val="auto"/>
        </w:rPr>
      </w:pPr>
    </w:p>
    <w:p>
      <w:pPr>
        <w:jc w:val="both"/>
        <w:ind w:left="80"/>
        <w:spacing w:after="0" w:line="245" w:lineRule="auto"/>
        <w:rPr>
          <w:sz w:val="20"/>
          <w:szCs w:val="20"/>
          <w:color w:val="auto"/>
        </w:rPr>
      </w:pPr>
      <w:r>
        <w:rPr>
          <w:rFonts w:ascii="Times New Roman" w:cs="Times New Roman" w:eastAsia="Times New Roman" w:hAnsi="Times New Roman"/>
          <w:sz w:val="20"/>
          <w:szCs w:val="20"/>
          <w:color w:val="auto"/>
        </w:rPr>
        <w:t>Security transactions are accounted for on the trade-date basis. Dividend income is accrued on the ex- dividend date. Interest income is recorded on the accrual basis. Net realized and unrealized appreciation/depreciation, along with dividend income and interest income (excluding interest income on notes receivables from participants) are recorded in the accompanying statements of changes in net assets available for benefits as change in Plan’s interest in Master Trust. In addition, the Plan permits participants to have their proportional interest in dividends paid on stock held in the Fortune Brands Common Stock Fund either distributed to them in cash or reinvested in that fund.</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Benefits Paid to Participants</w:t>
      </w:r>
    </w:p>
    <w:p>
      <w:pPr>
        <w:spacing w:after="0" w:line="22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color w:val="auto"/>
        </w:rPr>
        <w:t>Distributions and withdrawals are recorded when paid.</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i w:val="1"/>
          <w:iCs w:val="1"/>
          <w:color w:val="auto"/>
        </w:rPr>
        <w:t>Administrative Expenses</w:t>
      </w:r>
    </w:p>
    <w:p>
      <w:pPr>
        <w:spacing w:after="0" w:line="233"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Certain investment expenses incurred by the Plan are netted against earnings prior to allocation to participant accounts and are recorded in the accompanying statements of changes in net assets available for benefits as change in Plan’s interest in Fortune Brands Innovations Inc. Defined Contribution Master Trust. Participants’ accounts are directly charged for certain administrative expenses and any remaining expenses incurred are paid directly by the Plan’s suspense account. Expenses that are paid by the Company are excluded from these financial statements.</w:t>
      </w:r>
    </w:p>
    <w:p>
      <w:pPr>
        <w:spacing w:after="0" w:line="1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NOTE C—TRANSFERS TO AND FROM THE PLAN</w:t>
      </w:r>
    </w:p>
    <w:p>
      <w:pPr>
        <w:spacing w:after="0" w:line="233" w:lineRule="exact"/>
        <w:rPr>
          <w:sz w:val="20"/>
          <w:szCs w:val="20"/>
          <w:color w:val="auto"/>
        </w:rPr>
      </w:pPr>
    </w:p>
    <w:p>
      <w:pPr>
        <w:jc w:val="both"/>
        <w:ind w:left="80"/>
        <w:spacing w:after="0" w:line="249" w:lineRule="auto"/>
        <w:rPr>
          <w:sz w:val="20"/>
          <w:szCs w:val="20"/>
          <w:color w:val="auto"/>
        </w:rPr>
      </w:pPr>
      <w:r>
        <w:rPr>
          <w:rFonts w:ascii="Times New Roman" w:cs="Times New Roman" w:eastAsia="Times New Roman" w:hAnsi="Times New Roman"/>
          <w:sz w:val="20"/>
          <w:szCs w:val="20"/>
          <w:color w:val="auto"/>
        </w:rPr>
        <w:t>Transfers between the Plan and the Fortune Brands Innovations Retirement Savings Plan occur due to participant changes in status from hourly to salaried, or vice versa, or transfers between the Companies. Total transfers from the Plan were $213 and $202 for the years ended December 31, 2025 and 2024, respectively. Total transfers into the Plan from the Fortune Brands Innovations Retirement Savings Plan were $125 and $23 for the years ended December 31, 2025 and 2024, respectively.</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0"/>
          <w:szCs w:val="20"/>
          <w:b w:val="1"/>
          <w:bCs w:val="1"/>
          <w:color w:val="auto"/>
        </w:rPr>
        <w:t>NOTE D—INTEREST IN MASTER TRUST</w:t>
      </w:r>
    </w:p>
    <w:p>
      <w:pPr>
        <w:spacing w:after="0" w:line="233" w:lineRule="exact"/>
        <w:rPr>
          <w:sz w:val="20"/>
          <w:szCs w:val="20"/>
          <w:color w:val="auto"/>
        </w:rPr>
      </w:pPr>
    </w:p>
    <w:p>
      <w:pPr>
        <w:jc w:val="both"/>
        <w:ind w:left="80"/>
        <w:spacing w:after="0" w:line="246" w:lineRule="auto"/>
        <w:rPr>
          <w:sz w:val="20"/>
          <w:szCs w:val="20"/>
          <w:color w:val="auto"/>
        </w:rPr>
      </w:pPr>
      <w:r>
        <w:rPr>
          <w:rFonts w:ascii="Times New Roman" w:cs="Times New Roman" w:eastAsia="Times New Roman" w:hAnsi="Times New Roman"/>
          <w:sz w:val="20"/>
          <w:szCs w:val="20"/>
          <w:color w:val="auto"/>
        </w:rPr>
        <w:t>The investments of the Master Trust are maintained under a trust agreement with the Trustee. The Plan, the Fortune Brands Innovations Retirement Savings Plan, and Larson Plan each have a divided interest in the Master Trust. The value of the Plan’s interest is based on the beginning of the year value of the Plan’s interest in the Master Trust, plus actual contributions and allocated investment income, less actual distributions. Investment income relating to the Master Trust is allocated to the individual plans on a prorated basis.</w:t>
      </w:r>
    </w:p>
    <w:p>
      <w:pPr>
        <w:spacing w:after="0" w:line="200" w:lineRule="exact"/>
        <w:rPr>
          <w:sz w:val="20"/>
          <w:szCs w:val="20"/>
          <w:color w:val="auto"/>
        </w:rPr>
      </w:pPr>
    </w:p>
    <w:p>
      <w:pPr>
        <w:spacing w:after="0" w:line="21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630555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23" w:lineRule="exact"/>
        <w:rPr>
          <w:sz w:val="20"/>
          <w:szCs w:val="20"/>
          <w:color w:val="auto"/>
        </w:rPr>
      </w:pPr>
    </w:p>
    <w:p>
      <w:pPr>
        <w:ind w:left="100" w:right="380"/>
        <w:spacing w:after="0" w:line="269" w:lineRule="auto"/>
        <w:rPr>
          <w:sz w:val="20"/>
          <w:szCs w:val="20"/>
          <w:color w:val="auto"/>
        </w:rPr>
      </w:pPr>
      <w:r>
        <w:rPr>
          <w:rFonts w:ascii="Times New Roman" w:cs="Times New Roman" w:eastAsia="Times New Roman" w:hAnsi="Times New Roman"/>
          <w:sz w:val="20"/>
          <w:szCs w:val="20"/>
          <w:color w:val="auto"/>
        </w:rPr>
        <w:t>The Master Trust’s net assets and the Plan’s interest in the Master Trust’s net assets at December 31, 2025 and 2024 were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2025</w:t>
            </w: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2024</w:t>
            </w: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
              <w:spacing w:after="0" w:line="223" w:lineRule="exact"/>
              <w:rPr>
                <w:sz w:val="20"/>
                <w:szCs w:val="20"/>
                <w:color w:val="auto"/>
              </w:rPr>
            </w:pPr>
            <w:r>
              <w:rPr>
                <w:rFonts w:ascii="Times New Roman" w:cs="Times New Roman" w:eastAsia="Times New Roman" w:hAnsi="Times New Roman"/>
                <w:sz w:val="20"/>
                <w:szCs w:val="20"/>
                <w:color w:val="auto"/>
              </w:rPr>
              <w:t>Master Trust</w:t>
            </w:r>
          </w:p>
        </w:tc>
        <w:tc>
          <w:tcPr>
            <w:tcW w:w="4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Plan’s Interest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w w:val="99"/>
              </w:rPr>
              <w:t>Master Trust</w:t>
            </w:r>
          </w:p>
        </w:tc>
        <w:tc>
          <w:tcPr>
            <w:tcW w:w="4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Plan’s Interest</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Mutual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56,442</w:t>
            </w: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59,072</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2,497</w:t>
            </w:r>
          </w:p>
        </w:tc>
        <w:tc>
          <w:tcPr>
            <w:tcW w:w="0" w:type="dxa"/>
            <w:vAlign w:val="bottom"/>
          </w:tcPr>
          <w:p>
            <w:pPr>
              <w:spacing w:after="0"/>
              <w:rPr>
                <w:sz w:val="1"/>
                <w:szCs w:val="1"/>
                <w:color w:val="auto"/>
              </w:rPr>
            </w:pPr>
          </w:p>
        </w:tc>
      </w:tr>
      <w:tr>
        <w:trPr>
          <w:trHeight w:val="229"/>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Collective trust funds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933,777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64,930</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862,125</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59,858</w:t>
            </w:r>
          </w:p>
        </w:tc>
        <w:tc>
          <w:tcPr>
            <w:tcW w:w="0" w:type="dxa"/>
            <w:vAlign w:val="bottom"/>
          </w:tcPr>
          <w:p>
            <w:pPr>
              <w:spacing w:after="0"/>
              <w:rPr>
                <w:sz w:val="1"/>
                <w:szCs w:val="1"/>
                <w:color w:val="auto"/>
              </w:rPr>
            </w:pPr>
          </w:p>
        </w:tc>
      </w:tr>
      <w:tr>
        <w:trPr>
          <w:trHeight w:val="230"/>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Common stock</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1,376</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w:t>
            </w:r>
          </w:p>
        </w:tc>
        <w:tc>
          <w:tcPr>
            <w:tcW w:w="0" w:type="dxa"/>
            <w:vAlign w:val="bottom"/>
          </w:tcPr>
          <w:p>
            <w:pPr>
              <w:spacing w:after="0"/>
              <w:rPr>
                <w:sz w:val="1"/>
                <w:szCs w:val="1"/>
                <w:color w:val="auto"/>
              </w:rPr>
            </w:pPr>
          </w:p>
        </w:tc>
      </w:tr>
      <w:tr>
        <w:trPr>
          <w:trHeight w:val="252"/>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26,848</w:t>
            </w:r>
          </w:p>
        </w:tc>
        <w:tc>
          <w:tcPr>
            <w:tcW w:w="4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w:t>
            </w:r>
          </w:p>
        </w:tc>
        <w:tc>
          <w:tcPr>
            <w:tcW w:w="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23,817</w:t>
            </w:r>
          </w:p>
        </w:tc>
        <w:tc>
          <w:tcPr>
            <w:tcW w:w="4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641</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investments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1,030,018</w:t>
            </w:r>
          </w:p>
        </w:tc>
        <w:tc>
          <w:tcPr>
            <w:tcW w:w="4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69,938</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963,598</w:t>
            </w:r>
          </w:p>
        </w:tc>
        <w:tc>
          <w:tcPr>
            <w:tcW w:w="4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64,320</w:t>
            </w:r>
          </w:p>
        </w:tc>
        <w:tc>
          <w:tcPr>
            <w:tcW w:w="0" w:type="dxa"/>
            <w:vAlign w:val="bottom"/>
          </w:tcPr>
          <w:p>
            <w:pPr>
              <w:spacing w:after="0"/>
              <w:rPr>
                <w:sz w:val="1"/>
                <w:szCs w:val="1"/>
                <w:color w:val="auto"/>
              </w:rPr>
            </w:pPr>
          </w:p>
        </w:tc>
      </w:tr>
      <w:tr>
        <w:trPr>
          <w:trHeight w:val="453"/>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receivables</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453"/>
        </w:trPr>
        <w:tc>
          <w:tcPr>
            <w:tcW w:w="4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net assets of the Master Trust</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1,030,018</w:t>
            </w: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69,938</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963,601</w:t>
            </w:r>
          </w:p>
        </w:tc>
        <w:tc>
          <w:tcPr>
            <w:tcW w:w="88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64,323</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net appreciation in fair value of investments, interest income, dividend income and administrative expenses related to the Master Trust for the years ended December 31, 2025 and 2024, were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3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appreciation in fair value</w:t>
            </w: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7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4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2024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4360" w:type="dxa"/>
            <w:vAlign w:val="bottom"/>
            <w:vMerge w:val="continue"/>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Borders>
              <w:top w:val="single" w:sz="8" w:color="auto"/>
            </w:tcBorders>
          </w:tcPr>
          <w:p>
            <w:pPr>
              <w:jc w:val="right"/>
              <w:ind w:right="106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141,333</w:t>
            </w:r>
          </w:p>
        </w:tc>
        <w:tc>
          <w:tcPr>
            <w:tcW w:w="660" w:type="dxa"/>
            <w:vAlign w:val="bottom"/>
          </w:tcPr>
          <w:p>
            <w:pPr>
              <w:spacing w:after="0"/>
              <w:rPr>
                <w:sz w:val="17"/>
                <w:szCs w:val="17"/>
                <w:color w:val="auto"/>
              </w:rPr>
            </w:pPr>
          </w:p>
        </w:tc>
        <w:tc>
          <w:tcPr>
            <w:tcW w:w="440" w:type="dxa"/>
            <w:vAlign w:val="bottom"/>
            <w:tcBorders>
              <w:top w:val="single" w:sz="8" w:color="auto"/>
            </w:tcBorders>
          </w:tcPr>
          <w:p>
            <w:pPr>
              <w:jc w:val="right"/>
              <w:ind w:right="24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112,847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w:t>
            </w:r>
          </w:p>
        </w:tc>
        <w:tc>
          <w:tcPr>
            <w:tcW w:w="2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w:t>
            </w: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360" w:type="dxa"/>
            <w:vAlign w:val="bottom"/>
          </w:tcPr>
          <w:p>
            <w:pPr>
              <w:spacing w:after="0"/>
              <w:rPr>
                <w:sz w:val="20"/>
                <w:szCs w:val="20"/>
                <w:color w:val="auto"/>
              </w:rPr>
            </w:pPr>
            <w:r>
              <w:rPr>
                <w:rFonts w:ascii="Times New Roman" w:cs="Times New Roman" w:eastAsia="Times New Roman" w:hAnsi="Times New Roman"/>
                <w:sz w:val="20"/>
                <w:szCs w:val="20"/>
                <w:color w:val="auto"/>
              </w:rPr>
              <w:t>Dividend income</w:t>
            </w:r>
          </w:p>
        </w:tc>
        <w:tc>
          <w:tcPr>
            <w:tcW w:w="21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4,484</w:t>
            </w:r>
          </w:p>
        </w:tc>
        <w:tc>
          <w:tcPr>
            <w:tcW w:w="66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4,922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360" w:type="dxa"/>
            <w:vAlign w:val="bottom"/>
          </w:tcPr>
          <w:p>
            <w:pPr>
              <w:ind w:left="340"/>
              <w:spacing w:after="0" w:line="223" w:lineRule="exact"/>
              <w:rPr>
                <w:sz w:val="20"/>
                <w:szCs w:val="20"/>
                <w:color w:val="auto"/>
              </w:rPr>
            </w:pPr>
            <w:r>
              <w:rPr>
                <w:rFonts w:ascii="Times New Roman" w:cs="Times New Roman" w:eastAsia="Times New Roman" w:hAnsi="Times New Roman"/>
                <w:sz w:val="20"/>
                <w:szCs w:val="20"/>
                <w:color w:val="auto"/>
              </w:rPr>
              <w:t>Master Trust net investment income</w:t>
            </w:r>
          </w:p>
        </w:tc>
        <w:tc>
          <w:tcPr>
            <w:tcW w:w="2120" w:type="dxa"/>
            <w:vAlign w:val="bottom"/>
          </w:tcPr>
          <w:p>
            <w:pPr>
              <w:spacing w:after="0"/>
              <w:rPr>
                <w:sz w:val="19"/>
                <w:szCs w:val="19"/>
                <w:color w:val="auto"/>
              </w:rPr>
            </w:pPr>
          </w:p>
        </w:tc>
        <w:tc>
          <w:tcPr>
            <w:tcW w:w="1260" w:type="dxa"/>
            <w:vAlign w:val="bottom"/>
            <w:tcBorders>
              <w:bottom w:val="single" w:sz="8" w:color="auto"/>
            </w:tcBorders>
          </w:tcPr>
          <w:p>
            <w:pPr>
              <w:jc w:val="right"/>
              <w:ind w:right="106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7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146,085</w:t>
            </w:r>
          </w:p>
        </w:tc>
        <w:tc>
          <w:tcPr>
            <w:tcW w:w="660" w:type="dxa"/>
            <w:vAlign w:val="bottom"/>
          </w:tcPr>
          <w:p>
            <w:pPr>
              <w:spacing w:after="0"/>
              <w:rPr>
                <w:sz w:val="19"/>
                <w:szCs w:val="19"/>
                <w:color w:val="auto"/>
              </w:rPr>
            </w:pPr>
          </w:p>
        </w:tc>
        <w:tc>
          <w:tcPr>
            <w:tcW w:w="440" w:type="dxa"/>
            <w:vAlign w:val="bottom"/>
            <w:tcBorders>
              <w:bottom w:val="single" w:sz="8" w:color="auto"/>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54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117,999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120" w:type="dxa"/>
            <w:vAlign w:val="bottom"/>
            <w:vMerge w:val="restart"/>
          </w:tcPr>
          <w:p>
            <w:pPr>
              <w:jc w:val="right"/>
              <w:ind w:right="666"/>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2"/>
        </w:trPr>
        <w:tc>
          <w:tcPr>
            <w:tcW w:w="43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present the Master Trust’s investments by level within the fair value hierarchy as of December 31, 2025 and 2024:</w:t>
      </w:r>
    </w:p>
    <w:p>
      <w:pPr>
        <w:spacing w:after="0" w:line="256" w:lineRule="exact"/>
        <w:rPr>
          <w:sz w:val="20"/>
          <w:szCs w:val="20"/>
          <w:color w:val="auto"/>
        </w:rPr>
      </w:pPr>
    </w:p>
    <w:tbl>
      <w:tblPr>
        <w:tblLayout w:type="fixed"/>
        <w:tblInd w:w="60" w:type="dxa"/>
        <w:tblCellMar>
          <w:top w:w="0" w:type="dxa"/>
          <w:left w:w="0" w:type="dxa"/>
          <w:bottom w:w="0" w:type="dxa"/>
          <w:right w:w="0" w:type="dxa"/>
        </w:tblCellMar>
      </w:tblPr>
      <w:tr>
        <w:trPr>
          <w:trHeight w:val="252"/>
        </w:trPr>
        <w:tc>
          <w:tcPr>
            <w:tcW w:w="40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4"/>
              </w:rPr>
              <w:t>2025</w:t>
            </w: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61"/>
              <w:spacing w:after="0" w:line="223" w:lineRule="exact"/>
              <w:rPr>
                <w:sz w:val="20"/>
                <w:szCs w:val="20"/>
                <w:color w:val="auto"/>
              </w:rPr>
            </w:pPr>
            <w:r>
              <w:rPr>
                <w:rFonts w:ascii="Times New Roman" w:cs="Times New Roman" w:eastAsia="Times New Roman" w:hAnsi="Times New Roman"/>
                <w:sz w:val="20"/>
                <w:szCs w:val="20"/>
                <w:color w:val="auto"/>
              </w:rPr>
              <w:t>Level 1</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rPr>
              <w:t>Level 2</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Level 3</w:t>
            </w:r>
          </w:p>
        </w:tc>
        <w:tc>
          <w:tcPr>
            <w:tcW w:w="2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40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56,442</w:t>
            </w:r>
          </w:p>
        </w:tc>
        <w:tc>
          <w:tcPr>
            <w:tcW w:w="480" w:type="dxa"/>
            <w:vAlign w:val="bottom"/>
          </w:tcPr>
          <w:p>
            <w:pPr>
              <w:spacing w:after="0"/>
              <w:rPr>
                <w:sz w:val="17"/>
                <w:szCs w:val="17"/>
                <w:color w:val="auto"/>
              </w:rPr>
            </w:pPr>
          </w:p>
        </w:tc>
        <w:tc>
          <w:tcPr>
            <w:tcW w:w="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17"/>
                <w:szCs w:val="17"/>
                <w:color w:val="auto"/>
              </w:rPr>
            </w:pPr>
          </w:p>
        </w:tc>
        <w:tc>
          <w:tcPr>
            <w:tcW w:w="1040" w:type="dxa"/>
            <w:vAlign w:val="bottom"/>
          </w:tcPr>
          <w:p>
            <w:pPr>
              <w:jc w:val="right"/>
              <w:ind w:right="84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56,442</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26,573</w:t>
            </w:r>
          </w:p>
        </w:tc>
        <w:tc>
          <w:tcPr>
            <w:tcW w:w="680" w:type="dxa"/>
            <w:vAlign w:val="bottom"/>
            <w:gridSpan w:val="2"/>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26,848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95,966</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520" w:type="dxa"/>
            <w:vAlign w:val="bottom"/>
            <w:gridSpan w:val="2"/>
          </w:tcPr>
          <w:p>
            <w:pPr>
              <w:jc w:val="right"/>
              <w:ind w:right="84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96,241</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Collective trust funds (a)</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933,777</w:t>
            </w: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line="223" w:lineRule="exact"/>
              <w:rPr>
                <w:sz w:val="20"/>
                <w:szCs w:val="20"/>
                <w:color w:val="auto"/>
              </w:rPr>
            </w:pPr>
            <w:r>
              <w:rPr>
                <w:rFonts w:ascii="Times New Roman" w:cs="Times New Roman" w:eastAsia="Times New Roman" w:hAnsi="Times New Roman"/>
                <w:sz w:val="20"/>
                <w:szCs w:val="20"/>
                <w:color w:val="auto"/>
              </w:rPr>
              <w:t>Total investments at fair value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1,030,018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4"/>
              </w:rPr>
              <w:t>2024</w:t>
            </w: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vMerge w:val="continue"/>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61"/>
              <w:spacing w:after="0" w:line="223" w:lineRule="exact"/>
              <w:rPr>
                <w:sz w:val="20"/>
                <w:szCs w:val="20"/>
                <w:color w:val="auto"/>
              </w:rPr>
            </w:pPr>
            <w:r>
              <w:rPr>
                <w:rFonts w:ascii="Times New Roman" w:cs="Times New Roman" w:eastAsia="Times New Roman" w:hAnsi="Times New Roman"/>
                <w:sz w:val="20"/>
                <w:szCs w:val="20"/>
                <w:color w:val="auto"/>
              </w:rPr>
              <w:t>Level 1</w:t>
            </w: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41"/>
              <w:spacing w:after="0" w:line="223" w:lineRule="exact"/>
              <w:rPr>
                <w:sz w:val="20"/>
                <w:szCs w:val="20"/>
                <w:color w:val="auto"/>
              </w:rPr>
            </w:pPr>
            <w:r>
              <w:rPr>
                <w:rFonts w:ascii="Times New Roman" w:cs="Times New Roman" w:eastAsia="Times New Roman" w:hAnsi="Times New Roman"/>
                <w:sz w:val="20"/>
                <w:szCs w:val="20"/>
                <w:color w:val="auto"/>
              </w:rPr>
              <w:t>Level 2</w:t>
            </w:r>
          </w:p>
        </w:tc>
        <w:tc>
          <w:tcPr>
            <w:tcW w:w="480" w:type="dxa"/>
            <w:vAlign w:val="bottom"/>
          </w:tcPr>
          <w:p>
            <w:pPr>
              <w:spacing w:after="0"/>
              <w:rPr>
                <w:sz w:val="19"/>
                <w:szCs w:val="19"/>
                <w:color w:val="auto"/>
              </w:rPr>
            </w:pPr>
          </w:p>
        </w:tc>
        <w:tc>
          <w:tcPr>
            <w:tcW w:w="104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Level 3</w:t>
            </w:r>
          </w:p>
        </w:tc>
        <w:tc>
          <w:tcPr>
            <w:tcW w:w="2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00"/>
        </w:trPr>
        <w:tc>
          <w:tcPr>
            <w:tcW w:w="406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jc w:val="right"/>
              <w:ind w:right="2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59,072</w:t>
            </w:r>
          </w:p>
        </w:tc>
        <w:tc>
          <w:tcPr>
            <w:tcW w:w="480" w:type="dxa"/>
            <w:vAlign w:val="bottom"/>
          </w:tcPr>
          <w:p>
            <w:pPr>
              <w:spacing w:after="0"/>
              <w:rPr>
                <w:sz w:val="17"/>
                <w:szCs w:val="17"/>
                <w:color w:val="auto"/>
              </w:rPr>
            </w:pPr>
          </w:p>
        </w:tc>
        <w:tc>
          <w:tcPr>
            <w:tcW w:w="2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17"/>
                <w:szCs w:val="17"/>
                <w:color w:val="auto"/>
              </w:rPr>
            </w:pPr>
          </w:p>
        </w:tc>
        <w:tc>
          <w:tcPr>
            <w:tcW w:w="1040" w:type="dxa"/>
            <w:vAlign w:val="bottom"/>
          </w:tcPr>
          <w:p>
            <w:pPr>
              <w:jc w:val="right"/>
              <w:ind w:right="84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59,072</w:t>
            </w:r>
          </w:p>
        </w:tc>
        <w:tc>
          <w:tcPr>
            <w:tcW w:w="0" w:type="dxa"/>
            <w:vAlign w:val="bottom"/>
          </w:tcPr>
          <w:p>
            <w:pPr>
              <w:spacing w:after="0"/>
              <w:rPr>
                <w:sz w:val="1"/>
                <w:szCs w:val="1"/>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Common Stock</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0" w:type="dxa"/>
            <w:vAlign w:val="bottom"/>
          </w:tcPr>
          <w:p>
            <w:pPr>
              <w:spacing w:after="0"/>
              <w:rPr>
                <w:sz w:val="1"/>
                <w:szCs w:val="1"/>
                <w:color w:val="auto"/>
              </w:rPr>
            </w:pPr>
          </w:p>
        </w:tc>
      </w:tr>
      <w:tr>
        <w:trPr>
          <w:trHeight w:val="252"/>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5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18,396</w:t>
            </w:r>
          </w:p>
        </w:tc>
        <w:tc>
          <w:tcPr>
            <w:tcW w:w="4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5,421</w:t>
            </w:r>
          </w:p>
        </w:tc>
        <w:tc>
          <w:tcPr>
            <w:tcW w:w="48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23,817</w:t>
            </w:r>
          </w:p>
        </w:tc>
        <w:tc>
          <w:tcPr>
            <w:tcW w:w="0" w:type="dxa"/>
            <w:vAlign w:val="bottom"/>
          </w:tcPr>
          <w:p>
            <w:pPr>
              <w:spacing w:after="0"/>
              <w:rPr>
                <w:sz w:val="1"/>
                <w:szCs w:val="1"/>
                <w:color w:val="auto"/>
              </w:rPr>
            </w:pPr>
          </w:p>
        </w:tc>
      </w:tr>
      <w:tr>
        <w:trPr>
          <w:trHeight w:val="453"/>
        </w:trPr>
        <w:tc>
          <w:tcPr>
            <w:tcW w:w="4060" w:type="dxa"/>
            <w:vAlign w:val="bottom"/>
          </w:tcPr>
          <w:p>
            <w:pPr>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96,052</w:t>
            </w:r>
          </w:p>
        </w:tc>
        <w:tc>
          <w:tcPr>
            <w:tcW w:w="680" w:type="dxa"/>
            <w:vAlign w:val="bottom"/>
            <w:gridSpan w:val="2"/>
          </w:tcPr>
          <w:p>
            <w:pPr>
              <w:ind w:left="4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5,421</w:t>
            </w:r>
          </w:p>
        </w:tc>
        <w:tc>
          <w:tcPr>
            <w:tcW w:w="1520" w:type="dxa"/>
            <w:vAlign w:val="bottom"/>
            <w:gridSpan w:val="2"/>
          </w:tcPr>
          <w:p>
            <w:pPr>
              <w:jc w:val="right"/>
              <w:ind w:right="841"/>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gridSpan w:val="3"/>
          </w:tcPr>
          <w:p>
            <w:pPr>
              <w:jc w:val="right"/>
              <w:ind w:right="78"/>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101,473</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06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Collective trust funds (a)</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862,125</w:t>
            </w:r>
          </w:p>
        </w:tc>
        <w:tc>
          <w:tcPr>
            <w:tcW w:w="0" w:type="dxa"/>
            <w:vAlign w:val="bottom"/>
          </w:tcPr>
          <w:p>
            <w:pPr>
              <w:spacing w:after="0"/>
              <w:rPr>
                <w:sz w:val="1"/>
                <w:szCs w:val="1"/>
                <w:color w:val="auto"/>
              </w:rPr>
            </w:pPr>
          </w:p>
        </w:tc>
      </w:tr>
      <w:tr>
        <w:trPr>
          <w:trHeight w:val="223"/>
        </w:trPr>
        <w:tc>
          <w:tcPr>
            <w:tcW w:w="4060" w:type="dxa"/>
            <w:vAlign w:val="bottom"/>
          </w:tcPr>
          <w:p>
            <w:pPr>
              <w:ind w:left="240"/>
              <w:spacing w:after="0" w:line="223" w:lineRule="exact"/>
              <w:rPr>
                <w:sz w:val="20"/>
                <w:szCs w:val="20"/>
                <w:color w:val="auto"/>
              </w:rPr>
            </w:pPr>
            <w:r>
              <w:rPr>
                <w:rFonts w:ascii="Times New Roman" w:cs="Times New Roman" w:eastAsia="Times New Roman" w:hAnsi="Times New Roman"/>
                <w:sz w:val="20"/>
                <w:szCs w:val="20"/>
                <w:color w:val="auto"/>
              </w:rPr>
              <w:t>Total investments at fair value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963,598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380" w:right="380" w:hanging="372"/>
        <w:spacing w:after="0" w:line="246" w:lineRule="auto"/>
        <w:tabs>
          <w:tab w:leader="none" w:pos="283"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investments that are measured at fair value using NAV per share (or its equivalent) as a practical expedient have not been classified in the fair value hierarchy. The fair value amounts presented in this table are intended to permit reconciliation of the fair value hierarchy to the amounts presented in the statements of net assets available for benefits. Redemption from these funds is permitted with 30-days’ notice and for one fund with 12 to 30 months’ notice. There were no unfunded commitments, liquidity or redemption restrictions related to the common/collective trusts. These are all direct filing entities.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E—RISKS AND UNCERTAINTIES</w:t>
      </w:r>
    </w:p>
    <w:p>
      <w:pPr>
        <w:spacing w:after="0" w:line="301" w:lineRule="exact"/>
        <w:rPr>
          <w:sz w:val="20"/>
          <w:szCs w:val="20"/>
          <w:color w:val="auto"/>
        </w:rPr>
      </w:pPr>
    </w:p>
    <w:p>
      <w:pPr>
        <w:jc w:val="both"/>
        <w:ind w:right="380"/>
        <w:spacing w:after="0" w:line="246" w:lineRule="auto"/>
        <w:rPr>
          <w:sz w:val="20"/>
          <w:szCs w:val="20"/>
          <w:color w:val="auto"/>
        </w:rPr>
      </w:pPr>
      <w:r>
        <w:rPr>
          <w:rFonts w:ascii="Times New Roman" w:cs="Times New Roman" w:eastAsia="Times New Roman" w:hAnsi="Times New Roman"/>
          <w:sz w:val="20"/>
          <w:szCs w:val="20"/>
          <w:color w:val="auto"/>
        </w:rPr>
        <w:t>The Plan provides for various investments in any combination of stocks, mutual funds and collective trust funds. Investment securities are exposed to various risks, such as interest rate, market and credit risks. Due to the level of risk associated with certain investment securities and the level of uncertainty related to changes in the value of investment securities, it is at least reasonably possible that changes in market value could materially affect participants’ account balances and the amounts reported in the statements of net assets available for benefits and the statements of changes in net assets available for benefits.</w:t>
      </w:r>
    </w:p>
    <w:p>
      <w:pPr>
        <w:spacing w:after="0" w:line="1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774" w:right="49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Hourly Employee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F—TAX STATUS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Effective August 10, 2021, the Internal Revenue Service (“IRS”) determined and informed the Plan by letter, the Plan and related trust as well as all related amendments since January 17, 2018 (the date of the prior determination letter), as then designed, was in compliance with applicable requirements of the Code. The Plan has been amended and restated since receiving the determination letter. However, the Plan Administrator believes that the Plan is currently designed and continues to be operated in compliance with the applicable requirements of the Code, and therefore, believes the Plan is qualified, and the related trust is tax-exempt. Therefore, no provision for income taxes has been included in the Plan’s financial statements.</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if the organization has taken an uncertain position that more likely than not would not be sustained upon examination by the IRS. The Plan is subject to routine audits by taxing authorities; however, there are currently no audits for any tax periods in progress.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G—RELATED-PARTY AND PARTY-IN-INTEREST TRANSACTIONS</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Certain Master Trust investments are managed by Fidelity Investments. Fidelity Investments is an affiliate of the Trustee as defined by the Plan and, therefore, these transactions qualify as party-in-interest transactions that are exempt from prohibited transaction rules. The Master Trust also holds shares of Fortune Brands Common Stock. The Plan’s portion of the Master Trust held 27 and 19 shares of Fortune Brands Common Stock as of December 31, 2025 and 2024, respectively, with a fair value of $1,373 and $1,324, respectively. The Plan’s interest in the Master Trust received dividends on Fortune Brands Common Stock of $20 and $19 for the years ended December 31, 2025 and 2024, respectively. Notes receivable from participants also qualify as party-in-interest transactions.</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Plan’s portion of fees paid to Fidelity through the Master Trust for recordkeeping and investment management services totaled $216 and $244 for the years ended December 31, 2025 and 2024,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H—PLAN TERMINATION</w:t>
      </w:r>
    </w:p>
    <w:p>
      <w:pPr>
        <w:spacing w:after="0" w:line="2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Although they have not expressed any intent to do so, the Companies have the right under the Plan to discontinue contributions at any time. Fortune Brands, as Plan sponsor, has the right to terminate the Plan at any time subject to the provisions of ERISA. In the event of Plan termination, participants will become fully vested in the Company contribution portion of their accounts.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I—SUBSEQUENT EVENTS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Management of the Plan has evaluated subsequent events through June 26, 2026, which is the date the financial statements were available to be issued.</w:t>
      </w:r>
    </w:p>
    <w:p>
      <w:pPr>
        <w:spacing w:after="0" w:line="200" w:lineRule="exact"/>
        <w:rPr>
          <w:sz w:val="20"/>
          <w:szCs w:val="20"/>
          <w:color w:val="auto"/>
        </w:rPr>
      </w:pPr>
    </w:p>
    <w:p>
      <w:pPr>
        <w:spacing w:after="0" w:line="20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774" w:right="87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Hourly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EIN: 62-1411546  PN:002</w:t>
      </w:r>
    </w:p>
    <w:p>
      <w:pPr>
        <w:ind w:left="20"/>
        <w:spacing w:after="0"/>
        <w:rPr>
          <w:sz w:val="20"/>
          <w:szCs w:val="20"/>
          <w:color w:val="auto"/>
        </w:rPr>
      </w:pPr>
      <w:r>
        <w:rPr>
          <w:rFonts w:ascii="Times New Roman" w:cs="Times New Roman" w:eastAsia="Times New Roman" w:hAnsi="Times New Roman"/>
          <w:sz w:val="20"/>
          <w:szCs w:val="20"/>
          <w:b w:val="1"/>
          <w:bCs w:val="1"/>
          <w:color w:val="auto"/>
        </w:rPr>
        <w:t>SCHEDULE H, LINE 4i—SCHEDULE OF ASSETS (HELD AT END OF YEAR)</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(Dollars in thousands)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 (c)</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(e)</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Description and identity of issue,</w:t>
            </w:r>
          </w:p>
        </w:tc>
        <w:tc>
          <w:tcPr>
            <w:tcW w:w="380" w:type="dxa"/>
            <w:vAlign w:val="bottom"/>
          </w:tcPr>
          <w:p>
            <w:pPr>
              <w:spacing w:after="0"/>
              <w:rPr>
                <w:sz w:val="19"/>
                <w:szCs w:val="19"/>
                <w:color w:val="auto"/>
              </w:rPr>
            </w:pPr>
          </w:p>
        </w:tc>
        <w:tc>
          <w:tcPr>
            <w:tcW w:w="186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color w:val="auto"/>
              </w:rPr>
              <w:t>(d)</w:t>
            </w:r>
          </w:p>
        </w:tc>
        <w:tc>
          <w:tcPr>
            <w:tcW w:w="98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Current</w:t>
            </w:r>
          </w:p>
        </w:tc>
        <w:tc>
          <w:tcPr>
            <w:tcW w:w="0" w:type="dxa"/>
            <w:vAlign w:val="bottom"/>
          </w:tcPr>
          <w:p>
            <w:pPr>
              <w:spacing w:after="0"/>
              <w:rPr>
                <w:sz w:val="1"/>
                <w:szCs w:val="1"/>
                <w:color w:val="auto"/>
              </w:rPr>
            </w:pPr>
          </w:p>
        </w:tc>
      </w:tr>
      <w:tr>
        <w:trPr>
          <w:trHeight w:val="252"/>
        </w:trPr>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w:t>
            </w:r>
          </w:p>
        </w:tc>
        <w:tc>
          <w:tcPr>
            <w:tcW w:w="280" w:type="dxa"/>
            <w:vAlign w:val="bottom"/>
            <w:tcBorders>
              <w:bottom w:val="single" w:sz="8" w:color="auto"/>
            </w:tcBorders>
          </w:tcPr>
          <w:p>
            <w:pPr>
              <w:spacing w:after="0"/>
              <w:rPr>
                <w:sz w:val="21"/>
                <w:szCs w:val="21"/>
                <w:color w:val="auto"/>
              </w:rPr>
            </w:pPr>
          </w:p>
        </w:tc>
        <w:tc>
          <w:tcPr>
            <w:tcW w:w="380" w:type="dxa"/>
            <w:vAlign w:val="bottom"/>
          </w:tcPr>
          <w:p>
            <w:pPr>
              <w:spacing w:after="0"/>
              <w:rPr>
                <w:sz w:val="21"/>
                <w:szCs w:val="21"/>
                <w:color w:val="auto"/>
              </w:rPr>
            </w:pPr>
          </w:p>
        </w:tc>
        <w:tc>
          <w:tcPr>
            <w:tcW w:w="6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borrower, lessor or similar party</w:t>
            </w:r>
          </w:p>
        </w:tc>
        <w:tc>
          <w:tcPr>
            <w:tcW w:w="38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Cost**</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14"/>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Participant loans -</w:t>
            </w:r>
          </w:p>
        </w:tc>
        <w:tc>
          <w:tcPr>
            <w:tcW w:w="22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3,464</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rates ranging from 4.25% to 9.50%</w:t>
            </w:r>
          </w:p>
        </w:tc>
        <w:tc>
          <w:tcPr>
            <w:tcW w:w="2240" w:type="dxa"/>
            <w:vAlign w:val="bottom"/>
            <w:gridSpan w:val="4"/>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7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color w:val="auto"/>
              </w:rPr>
              <w:t>*Indicates a party-in-interest to the Plan.</w:t>
            </w: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80" w:type="dxa"/>
            <w:vAlign w:val="bottom"/>
          </w:tcPr>
          <w:p>
            <w:pPr>
              <w:spacing w:after="0"/>
              <w:rPr>
                <w:sz w:val="23"/>
                <w:szCs w:val="23"/>
                <w:color w:val="auto"/>
              </w:rPr>
            </w:pPr>
          </w:p>
        </w:tc>
        <w:tc>
          <w:tcPr>
            <w:tcW w:w="7520" w:type="dxa"/>
            <w:vAlign w:val="bottom"/>
            <w:gridSpan w:val="3"/>
            <w:vMerge w:val="continue"/>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380" w:type="dxa"/>
            <w:vAlign w:val="bottom"/>
          </w:tcPr>
          <w:p>
            <w:pPr>
              <w:spacing w:after="0"/>
              <w:rPr>
                <w:sz w:val="22"/>
                <w:szCs w:val="22"/>
                <w:color w:val="auto"/>
              </w:rPr>
            </w:pPr>
          </w:p>
        </w:tc>
        <w:tc>
          <w:tcPr>
            <w:tcW w:w="7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**Cost information omitted for investments that are fully participant directed.</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4" w:right="459" w:bottom="1440" w:gutter="0" w:footer="0" w:header="0"/>
        </w:sectPr>
      </w:pPr>
    </w:p>
    <w:bookmarkStart w:id="15" w:name="page16"/>
    <w:bookmarkEnd w:id="15"/>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62" w:lineRule="exact"/>
        <w:rPr>
          <w:sz w:val="20"/>
          <w:szCs w:val="20"/>
          <w:color w:val="auto"/>
        </w:rPr>
      </w:pPr>
    </w:p>
    <w:p>
      <w:pPr>
        <w:jc w:val="both"/>
        <w:ind w:left="540" w:right="540"/>
        <w:spacing w:after="0" w:line="25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FORTUNE BRANDS INNOVATIONS HOURLY</w:t>
            </w:r>
          </w:p>
        </w:tc>
      </w:tr>
      <w:tr>
        <w:trPr>
          <w:trHeight w:val="258"/>
        </w:trPr>
        <w:tc>
          <w:tcPr>
            <w:tcW w:w="3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RETIREMENT SAVINGS PLAN</w:t>
            </w:r>
          </w:p>
        </w:tc>
      </w:tr>
      <w:tr>
        <w:trPr>
          <w:trHeight w:val="453"/>
        </w:trPr>
        <w:tc>
          <w:tcPr>
            <w:tcW w:w="3480" w:type="dxa"/>
            <w:vAlign w:val="bottom"/>
          </w:tcPr>
          <w:p>
            <w:pPr>
              <w:ind w:left="520"/>
              <w:spacing w:after="0"/>
              <w:rPr>
                <w:sz w:val="20"/>
                <w:szCs w:val="20"/>
                <w:color w:val="auto"/>
              </w:rPr>
            </w:pPr>
            <w:r>
              <w:rPr>
                <w:rFonts w:ascii="Times New Roman" w:cs="Times New Roman" w:eastAsia="Times New Roman" w:hAnsi="Times New Roman"/>
                <w:sz w:val="20"/>
                <w:szCs w:val="20"/>
                <w:color w:val="auto"/>
              </w:rPr>
              <w:t>June 26, 2026</w:t>
            </w:r>
          </w:p>
        </w:tc>
        <w:tc>
          <w:tcPr>
            <w:tcW w:w="7760" w:type="dxa"/>
            <w:vAlign w:val="bottom"/>
            <w:gridSpan w:val="3"/>
          </w:tcPr>
          <w:p>
            <w:pPr>
              <w:ind w:left="1860"/>
              <w:spacing w:after="0"/>
              <w:rPr>
                <w:sz w:val="20"/>
                <w:szCs w:val="20"/>
                <w:color w:val="auto"/>
              </w:rPr>
            </w:pPr>
            <w:r>
              <w:rPr>
                <w:rFonts w:ascii="Times New Roman" w:cs="Times New Roman" w:eastAsia="Times New Roman" w:hAnsi="Times New Roman"/>
                <w:sz w:val="20"/>
                <w:szCs w:val="20"/>
                <w:color w:val="auto"/>
              </w:rPr>
              <w:t>By:   /s/ Kristin E. Papesh</w:t>
            </w:r>
          </w:p>
        </w:tc>
      </w:tr>
      <w:tr>
        <w:trPr>
          <w:trHeight w:val="200"/>
        </w:trPr>
        <w:tc>
          <w:tcPr>
            <w:tcW w:w="34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20" w:type="dxa"/>
            <w:vAlign w:val="bottom"/>
            <w:tcBorders>
              <w:top w:val="single" w:sz="8" w:color="auto"/>
            </w:tcBorders>
          </w:tcPr>
          <w:p>
            <w:pPr>
              <w:spacing w:after="0" w:line="200" w:lineRule="exact"/>
              <w:rPr>
                <w:sz w:val="20"/>
                <w:szCs w:val="20"/>
                <w:color w:val="auto"/>
              </w:rPr>
            </w:pPr>
            <w:r>
              <w:rPr>
                <w:rFonts w:ascii="Times New Roman" w:cs="Times New Roman" w:eastAsia="Times New Roman" w:hAnsi="Times New Roman"/>
                <w:sz w:val="20"/>
                <w:szCs w:val="20"/>
                <w:color w:val="auto"/>
              </w:rPr>
              <w:t>Kristin E. Papesh</w:t>
            </w:r>
          </w:p>
        </w:tc>
        <w:tc>
          <w:tcPr>
            <w:tcW w:w="500" w:type="dxa"/>
            <w:vAlign w:val="bottom"/>
          </w:tcPr>
          <w:p>
            <w:pPr>
              <w:spacing w:after="0"/>
              <w:rPr>
                <w:sz w:val="17"/>
                <w:szCs w:val="17"/>
                <w:color w:val="auto"/>
              </w:rPr>
            </w:pPr>
          </w:p>
        </w:tc>
      </w:tr>
      <w:tr>
        <w:trPr>
          <w:trHeight w:val="230"/>
        </w:trPr>
        <w:tc>
          <w:tcPr>
            <w:tcW w:w="3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Employee Benefits Committee of Fortune Brands</w:t>
            </w:r>
          </w:p>
        </w:tc>
      </w:tr>
      <w:tr>
        <w:trPr>
          <w:trHeight w:val="258"/>
        </w:trPr>
        <w:tc>
          <w:tcPr>
            <w:tcW w:w="34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Innovations, Inc.</w:t>
            </w:r>
          </w:p>
        </w:tc>
      </w:tr>
      <w:tr>
        <w:trPr>
          <w:trHeight w:val="426"/>
        </w:trPr>
        <w:tc>
          <w:tcPr>
            <w:tcW w:w="3480" w:type="dxa"/>
            <w:vAlign w:val="bottom"/>
          </w:tcPr>
          <w:p>
            <w:pPr>
              <w:spacing w:after="0"/>
              <w:rPr>
                <w:sz w:val="24"/>
                <w:szCs w:val="24"/>
                <w:color w:val="auto"/>
              </w:rPr>
            </w:pPr>
          </w:p>
        </w:tc>
        <w:tc>
          <w:tcPr>
            <w:tcW w:w="2440" w:type="dxa"/>
            <w:vAlign w:val="bottom"/>
          </w:tcPr>
          <w:p>
            <w:pPr>
              <w:jc w:val="right"/>
              <w:ind w:right="106"/>
              <w:spacing w:after="0"/>
              <w:rPr>
                <w:sz w:val="20"/>
                <w:szCs w:val="20"/>
                <w:color w:val="auto"/>
              </w:rPr>
            </w:pPr>
            <w:r>
              <w:rPr>
                <w:rFonts w:ascii="Times New Roman" w:cs="Times New Roman" w:eastAsia="Times New Roman" w:hAnsi="Times New Roman"/>
                <w:sz w:val="18"/>
                <w:szCs w:val="18"/>
                <w:color w:val="auto"/>
              </w:rPr>
              <w:t>14</w:t>
            </w:r>
          </w:p>
        </w:tc>
        <w:tc>
          <w:tcPr>
            <w:tcW w:w="48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993"/>
        </w:trPr>
        <w:tc>
          <w:tcPr>
            <w:tcW w:w="34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ind w:left="4880"/>
        <w:spacing w:after="0"/>
        <w:rPr>
          <w:sz w:val="20"/>
          <w:szCs w:val="20"/>
          <w:color w:val="auto"/>
        </w:rPr>
      </w:pPr>
      <w:r>
        <w:rPr>
          <w:rFonts w:ascii="Times New Roman" w:cs="Times New Roman" w:eastAsia="Times New Roman" w:hAnsi="Times New Roman"/>
          <w:sz w:val="20"/>
          <w:szCs w:val="20"/>
          <w:color w:val="auto"/>
        </w:rPr>
        <w:t>EXHIBIT INDEX</w:t>
      </w:r>
    </w:p>
    <w:p>
      <w:pPr>
        <w:spacing w:after="0" w:line="2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Exhibit</w:t>
      </w:r>
    </w:p>
    <w:p>
      <w:pPr>
        <w:spacing w:after="0" w:line="8" w:lineRule="exact"/>
        <w:rPr>
          <w:sz w:val="20"/>
          <w:szCs w:val="20"/>
          <w:color w:val="auto"/>
        </w:rPr>
      </w:pPr>
    </w:p>
    <w:p>
      <w:pPr>
        <w:ind w:left="20"/>
        <w:spacing w:after="0"/>
        <w:tabs>
          <w:tab w:leader="none" w:pos="2220" w:val="left"/>
        </w:tabs>
        <w:rPr>
          <w:sz w:val="20"/>
          <w:szCs w:val="20"/>
          <w:color w:val="auto"/>
        </w:rPr>
      </w:pPr>
      <w:r>
        <w:rPr>
          <w:rFonts w:ascii="Times New Roman" w:cs="Times New Roman" w:eastAsia="Times New Roman" w:hAnsi="Times New Roman"/>
          <w:sz w:val="20"/>
          <w:szCs w:val="20"/>
          <w:color w:val="auto"/>
        </w:rPr>
        <w:t>Number</w:t>
      </w:r>
      <w:r>
        <w:rPr>
          <w:sz w:val="20"/>
          <w:szCs w:val="20"/>
          <w:color w:val="auto"/>
        </w:rPr>
        <w:tab/>
      </w:r>
      <w:r>
        <w:rPr>
          <w:rFonts w:ascii="Times New Roman" w:cs="Times New Roman" w:eastAsia="Times New Roman" w:hAnsi="Times New Roman"/>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5"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1029970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413" w:right="1440" w:bottom="1440" w:gutter="0" w:footer="0" w:header="0"/>
        </w:sectPr>
      </w:pPr>
    </w:p>
    <w:bookmarkStart w:id="17" w:name="page18"/>
    <w:bookmarkEnd w:id="17"/>
    <w:p>
      <w:pPr>
        <w:ind w:left="720"/>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(Registration No. 333-177163) of Fortune Brands Innovations, Inc. of our report dated June 26, 2026, relating to the financial statements and supplemental schedule of Fortune Brands Innovations Hourly Employee Retirement Savings Plan which appear in this Form 11-K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1604645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upperLetter"/>
      <w:start w:val="1"/>
    </w:lvl>
  </w:abstractNum>
  <w:abstractNum w:abstractNumId="3">
    <w:nsid w:val="3D1B58BA"/>
    <w:multiLevelType w:val="hybridMultilevel"/>
    <w:lvl w:ilvl="0">
      <w:lvlJc w:val="left"/>
      <w:lvlText w:val="%1."/>
      <w:numFmt w:val="upperLetter"/>
      <w:start w:val="2"/>
    </w:lvl>
  </w:abstractNum>
  <w:abstractNum w:abstractNumId="4">
    <w:nsid w:val="507ED7AB"/>
    <w:multiLevelType w:val="hybridMultilevel"/>
    <w:lvl w:ilvl="0">
      <w:lvlJc w:val="left"/>
      <w:lvlText w:val="(%1)"/>
      <w:numFmt w:val="decimal"/>
      <w:start w:val="3"/>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2026-06-26T16:01:36Z</dcterms:created>
  <dcterms:modified xsi:type="dcterms:W3CDTF">2026-06-26T16:01:36Z</dcterms:modified>
</cp:coreProperties>
</file>