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999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999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3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GARDEN EDWARD P</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Fortune Brands Innovations,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FBIN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0" w:type="dxa"/>
            <w:vAlign w:val="bottom"/>
            <w:tcBorders>
              <w:bottom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FORTUNE BRANDS INNOVATIONS, INC.</w:t>
            </w:r>
          </w:p>
        </w:tc>
        <w:tc>
          <w:tcPr>
            <w:tcW w:w="296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1 HORIZON WAY, BUILDING N</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3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DEERFIELD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60015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3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tcPr>
          <w:p>
            <w:pPr>
              <w:ind w:left="2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3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3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8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 GI</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34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06/10/2026</w:t>
            </w:r>
          </w:p>
        </w:tc>
        <w:tc>
          <w:tcPr>
            <w:tcW w:w="112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320,067</w:t>
            </w: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40.6</w:t>
            </w:r>
            <w:r>
              <w:rPr>
                <w:rFonts w:ascii="Times New Roman" w:cs="Times New Roman" w:eastAsia="Times New Roman" w:hAnsi="Times New Roman"/>
                <w:sz w:val="22"/>
                <w:szCs w:val="22"/>
                <w:color w:val="008000"/>
                <w:vertAlign w:val="superscript"/>
              </w:rPr>
              <w:t>(1)</w:t>
            </w:r>
          </w:p>
        </w:tc>
        <w:tc>
          <w:tcPr>
            <w:tcW w:w="1040" w:type="dxa"/>
            <w:vAlign w:val="bottom"/>
            <w:vMerge w:val="restart"/>
          </w:tcPr>
          <w:p>
            <w:pPr>
              <w:jc w:val="right"/>
              <w:ind w:right="77"/>
              <w:spacing w:after="0"/>
              <w:rPr>
                <w:sz w:val="20"/>
                <w:szCs w:val="20"/>
                <w:color w:val="auto"/>
              </w:rPr>
            </w:pPr>
            <w:r>
              <w:rPr>
                <w:rFonts w:ascii="Times New Roman" w:cs="Times New Roman" w:eastAsia="Times New Roman" w:hAnsi="Times New Roman"/>
                <w:sz w:val="17"/>
                <w:szCs w:val="17"/>
                <w:color w:val="0000FF"/>
              </w:rPr>
              <w:t>3,940,234</w:t>
            </w: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SPV II L.P.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and Green 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Garden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center"/>
              <w:ind w:right="137"/>
              <w:spacing w:after="0" w:line="213" w:lineRule="exact"/>
              <w:rPr>
                <w:sz w:val="20"/>
                <w:szCs w:val="20"/>
                <w:color w:val="auto"/>
              </w:rPr>
            </w:pPr>
            <w:r>
              <w:rPr>
                <w:rFonts w:ascii="Times New Roman" w:cs="Times New Roman" w:eastAsia="Times New Roman" w:hAnsi="Times New Roman"/>
                <w:sz w:val="17"/>
                <w:szCs w:val="17"/>
                <w:color w:val="0000FF"/>
              </w:rPr>
              <w:t>4,765</w:t>
            </w:r>
            <w:r>
              <w:rPr>
                <w:rFonts w:ascii="Times New Roman" w:cs="Times New Roman" w:eastAsia="Times New Roman" w:hAnsi="Times New Roman"/>
                <w:sz w:val="22"/>
                <w:szCs w:val="22"/>
                <w:color w:val="008000"/>
                <w:vertAlign w:val="superscript"/>
              </w:rPr>
              <w:t>(3)</w:t>
            </w:r>
          </w:p>
        </w:tc>
        <w:tc>
          <w:tcPr>
            <w:tcW w:w="9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Management,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the weighted average price. These shares were purchased in multiple transactions at prices ranging from $40.40 to $40.74,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GI SPV II L.P. ("GI SPV II") and Green 73 LLC. GI SPV II is the manager of Green 73 LLC. Mr. Garden is the sole member of Garden Investment Management GP, LLC, which serves as the general partner of Garden Investment Management, L.P., which serves as the management company for GI SPV II. Accordingly, Mr. Garden may be deemed to indirectly beneficially own (as that term is defined in Rule 16a-1(a) under the Securities Exchange Act of 1934, as amended (the "Exchange Act")) the securities of the Issuer beneficially owned by GI SPV II. Mr. Garden disclaims beneficial ownership of such securities except to the extent of his pecuniary interests therein, and this report shall not be deemed an admission that Mr. Garden is the beneficial owner of such securities for purposes of Section 16 of the Exchange Act or for any other purpose.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prior grant of stock under the issuer's Long-Term Incentive Plan.</w:t>
      </w:r>
    </w:p>
    <w:p>
      <w:pPr>
        <w:spacing w:after="0" w:line="4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Chad Fauser,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18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Edward P. Garden</w:t>
            </w:r>
          </w:p>
        </w:tc>
        <w:tc>
          <w:tcPr>
            <w:tcW w:w="2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60" w:type="dxa"/>
            <w:vAlign w:val="bottom"/>
            <w:tcBorders>
              <w:bottom w:val="single" w:sz="8" w:color="auto"/>
            </w:tcBorders>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3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57864" TargetMode="External"/><Relationship Id="rId14" Type="http://schemas.openxmlformats.org/officeDocument/2006/relationships/hyperlink" Target="http://www.sec.gov/cgi-bin/browse-edgar?action=getcompany&amp;CIK=00015197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2026-06-11T15:04:28Z</dcterms:created>
  <dcterms:modified xsi:type="dcterms:W3CDTF">2026-06-11T15:04:28Z</dcterms:modified>
</cp:coreProperties>
</file>