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20" w:after="283"/>
        <w:jc w:val="center"/>
        <w:rPr/>
      </w:pPr>
      <w:bookmarkStart w:id="0" w:name="fbin-20260328.htm"/>
      <w:bookmarkStart w:id="1" w:name="ksfbin20260328"/>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28,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1-35166</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48"/>
        </w:rPr>
        <w:t>Fortune Brands Innovations,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62-1411546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1 Horizon Way, Building N, Deerfield, Illinois</w:t>
      </w:r>
      <w:r>
        <w:rPr>
          <w:rFonts w:ascii="Times New Roman" w:hAnsi="Times New Roman"/>
          <w:color w:val="000000"/>
          <w:sz w:val="20"/>
        </w:rPr>
        <w:t xml:space="preserve"> </w:t>
      </w:r>
      <w:r>
        <w:rPr>
          <w:rFonts w:ascii="Times New Roman" w:hAnsi="Times New Roman"/>
          <w:b/>
          <w:color w:val="000000"/>
          <w:sz w:val="20"/>
        </w:rPr>
        <w:t>60015-3888</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(847) 484-4400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7143" w:type="dxa"/>
        <w:jc w:val="left"/>
        <w:tblInd w:w="0" w:type="dxa"/>
        <w:tblLayout w:type="fixed"/>
        <w:tblCellMar>
          <w:top w:w="28" w:type="dxa"/>
          <w:left w:w="28" w:type="dxa"/>
          <w:bottom w:w="28" w:type="dxa"/>
          <w:right w:w="28" w:type="dxa"/>
        </w:tblCellMar>
      </w:tblPr>
      <w:tblGrid>
        <w:gridCol w:w="1621"/>
        <w:gridCol w:w="169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outstanding of the registrant’s common stock, par value $0.01 per share, at April 17, 2026 was 119,293,417.</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jc w:val="center"/>
        <w:rPr/>
      </w:pPr>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u w:val="single"/>
        </w:rPr>
        <w:t>Item 1.</w:t>
      </w:r>
      <w:r>
        <w:rPr>
          <w:rFonts w:ascii="Times New Roman" w:hAnsi="Times New Roman"/>
          <w:color w:val="000000"/>
          <w:sz w:val="20"/>
        </w:rPr>
        <w:t xml:space="preserve">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4" w:name="condensed_consolidated_statements_compre"/>
      <w:bookmarkEnd w:id="4"/>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Weeks Ended March 28, 2026 and March 29, 2025</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09"/>
        <w:gridCol w:w="146"/>
        <w:gridCol w:w="620"/>
        <w:gridCol w:w="2120"/>
        <w:gridCol w:w="166"/>
        <w:gridCol w:w="146"/>
        <w:gridCol w:w="620"/>
        <w:gridCol w:w="2120"/>
        <w:gridCol w:w="166"/>
        <w:gridCol w:w="392"/>
      </w:tblGrid>
      <w:tr>
        <w:trPr/>
        <w:tc>
          <w:tcPr>
            <w:tcW w:w="3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170" w:type="dxa"/>
        <w:jc w:val="left"/>
        <w:tblInd w:w="0" w:type="dxa"/>
        <w:tblLayout w:type="fixed"/>
        <w:tblCellMar>
          <w:top w:w="28" w:type="dxa"/>
          <w:left w:w="28" w:type="dxa"/>
          <w:bottom w:w="28" w:type="dxa"/>
          <w:right w:w="28" w:type="dxa"/>
        </w:tblCellMar>
      </w:tblPr>
      <w:tblGrid>
        <w:gridCol w:w="6161"/>
        <w:gridCol w:w="146"/>
        <w:gridCol w:w="268"/>
        <w:gridCol w:w="992"/>
        <w:gridCol w:w="166"/>
        <w:gridCol w:w="146"/>
        <w:gridCol w:w="319"/>
        <w:gridCol w:w="1181"/>
        <w:gridCol w:w="791"/>
      </w:tblGrid>
      <w:tr>
        <w:trPr/>
        <w:tc>
          <w:tcPr>
            <w:tcW w:w="6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less allowance for credit losses of $9.8 and $10.0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defined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20"/>
              </w:rPr>
            </w:pPr>
            <w:r>
              <w:rPr>
                <w:rFonts w:ascii="Times New Roman" w:hAnsi="Times New Roman"/>
                <w:color w:val="000000"/>
                <w:sz w:val="20"/>
              </w:rPr>
              <w:t>Common stock</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1"/>
        </w:rPr>
        <w:t xml:space="preserve">(a) </w:t>
      </w:r>
      <w:r>
        <w:rPr>
          <w:rFonts w:ascii="Times New Roman" w:hAnsi="Times New Roman"/>
          <w:i/>
          <w:color w:val="000000"/>
          <w:sz w:val="16"/>
        </w:rPr>
        <w:t>Common stock, par value $0.01</w:t>
      </w:r>
      <w:r>
        <w:rPr>
          <w:rFonts w:ascii="Times New Roman" w:hAnsi="Times New Roman"/>
          <w:color w:val="000000"/>
          <w:sz w:val="20"/>
        </w:rPr>
        <w:t xml:space="preserve"> </w:t>
      </w:r>
      <w:r>
        <w:rPr>
          <w:rFonts w:ascii="Times New Roman" w:hAnsi="Times New Roman"/>
          <w:i/>
          <w:color w:val="000000"/>
          <w:sz w:val="16"/>
        </w:rPr>
        <w:t>per share; 188.7</w:t>
      </w:r>
      <w:r>
        <w:rPr>
          <w:rFonts w:ascii="Times New Roman" w:hAnsi="Times New Roman"/>
          <w:color w:val="000000"/>
          <w:sz w:val="20"/>
        </w:rPr>
        <w:t xml:space="preserve"> </w:t>
      </w:r>
      <w:r>
        <w:rPr>
          <w:rFonts w:ascii="Times New Roman" w:hAnsi="Times New Roman"/>
          <w:i/>
          <w:color w:val="000000"/>
          <w:sz w:val="16"/>
        </w:rPr>
        <w:t>million shares and 188.4</w:t>
      </w:r>
      <w:r>
        <w:rPr>
          <w:rFonts w:ascii="Times New Roman" w:hAnsi="Times New Roman"/>
          <w:color w:val="000000"/>
          <w:sz w:val="20"/>
        </w:rPr>
        <w:t xml:space="preserve"> </w:t>
      </w:r>
      <w:r>
        <w:rPr>
          <w:rFonts w:ascii="Times New Roman" w:hAnsi="Times New Roman"/>
          <w:i/>
          <w:color w:val="000000"/>
          <w:sz w:val="16"/>
        </w:rPr>
        <w:t>million shares issued at March 28, 2026 and December 27, 2025,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Weeks Ended March 28, 2026 and March 29, 2025</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32"/>
        <w:gridCol w:w="146"/>
        <w:gridCol w:w="589"/>
        <w:gridCol w:w="1762"/>
        <w:gridCol w:w="166"/>
        <w:gridCol w:w="146"/>
        <w:gridCol w:w="589"/>
        <w:gridCol w:w="1762"/>
        <w:gridCol w:w="513"/>
      </w:tblGrid>
      <w:tr>
        <w:trPr/>
        <w:tc>
          <w:tcPr>
            <w:tcW w:w="4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operating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Increase in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(Decrease) increase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Decrease in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(Decrease) increase in 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Capital expenditures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disposition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7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7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5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withholding taxes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cash equivalents and restricted cash</w:t>
            </w:r>
            <w:r>
              <w:rPr>
                <w:rFonts w:ascii="Times New Roman" w:hAnsi="Times New Roman"/>
                <w:color w:val="000000"/>
                <w:sz w:val="13"/>
              </w:rPr>
              <w:t>(b)</w:t>
            </w:r>
            <w:r>
              <w:rPr>
                <w:rFonts w:ascii="Times New Roman" w:hAnsi="Times New Roman"/>
                <w:color w:val="000000"/>
                <w:sz w:val="20"/>
              </w:rPr>
              <w:t>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cash equivalents and restricted cash</w:t>
            </w:r>
            <w:r>
              <w:rPr>
                <w:rFonts w:ascii="Times New Roman" w:hAnsi="Times New Roman"/>
                <w:color w:val="000000"/>
                <w:sz w:val="13"/>
              </w:rPr>
              <w:t xml:space="preserve">(b) </w:t>
            </w:r>
            <w:r>
              <w:rPr>
                <w:rFonts w:ascii="Times New Roman" w:hAnsi="Times New Roman"/>
                <w:color w:val="000000"/>
                <w:sz w:val="20"/>
              </w:rPr>
              <w:t>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(a)</w:t>
      </w:r>
    </w:p>
    <w:p>
      <w:pPr>
        <w:pStyle w:val="TextBody"/>
        <w:bidi w:val="0"/>
        <w:spacing w:before="120" w:after="283"/>
        <w:jc w:val="left"/>
        <w:rPr/>
      </w:pPr>
      <w:r>
        <w:rPr>
          <w:rFonts w:ascii="Times New Roman" w:hAnsi="Times New Roman"/>
          <w:i/>
          <w:color w:val="000000"/>
          <w:sz w:val="16"/>
        </w:rPr>
        <w:t>Capital expenditures of $8.1</w:t>
      </w:r>
      <w:r>
        <w:rPr>
          <w:color w:val="000000"/>
        </w:rPr>
        <w:t xml:space="preserve"> </w:t>
      </w:r>
      <w:r>
        <w:rPr>
          <w:rFonts w:ascii="Times New Roman" w:hAnsi="Times New Roman"/>
          <w:i/>
          <w:color w:val="000000"/>
          <w:sz w:val="16"/>
        </w:rPr>
        <w:t>million and $5.1</w:t>
      </w:r>
      <w:r>
        <w:rPr>
          <w:color w:val="000000"/>
        </w:rPr>
        <w:t xml:space="preserve"> </w:t>
      </w:r>
      <w:r>
        <w:rPr>
          <w:rFonts w:ascii="Times New Roman" w:hAnsi="Times New Roman"/>
          <w:i/>
          <w:color w:val="000000"/>
          <w:sz w:val="16"/>
        </w:rPr>
        <w:t>million that had not been paid as of March 28, 2026 and March 29, 2025, respectively, were excluded from the Statement of Cash Flows.</w:t>
      </w:r>
      <w:r>
        <w:rPr>
          <w:color w:val="000000"/>
        </w:rPr>
        <w:t xml:space="preserve"> </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(b)</w:t>
      </w:r>
    </w:p>
    <w:p>
      <w:pPr>
        <w:pStyle w:val="TextBody"/>
        <w:bidi w:val="0"/>
        <w:jc w:val="left"/>
        <w:rPr/>
      </w:pPr>
      <w:r>
        <w:rPr>
          <w:rFonts w:ascii="Times New Roman" w:hAnsi="Times New Roman"/>
          <w:i/>
          <w:color w:val="000000"/>
          <w:sz w:val="16"/>
        </w:rPr>
        <w:t>Restricted cash of $1.4</w:t>
      </w:r>
      <w:r>
        <w:rPr>
          <w:color w:val="000000"/>
        </w:rPr>
        <w:t xml:space="preserve"> </w:t>
      </w:r>
      <w:r>
        <w:rPr>
          <w:rFonts w:ascii="Times New Roman" w:hAnsi="Times New Roman"/>
          <w:i/>
          <w:color w:val="000000"/>
          <w:sz w:val="16"/>
        </w:rPr>
        <w:t>million and $2.0</w:t>
      </w:r>
      <w:r>
        <w:rPr>
          <w:color w:val="000000"/>
        </w:rPr>
        <w:t xml:space="preserve"> </w:t>
      </w:r>
      <w:r>
        <w:rPr>
          <w:rFonts w:ascii="Times New Roman" w:hAnsi="Times New Roman"/>
          <w:i/>
          <w:color w:val="000000"/>
          <w:sz w:val="16"/>
        </w:rPr>
        <w:t>million is included in Other current assets and Other assets, respectively, as of March 28, 2026</w:t>
      </w:r>
      <w:r>
        <w:rPr>
          <w:color w:val="000000"/>
        </w:rPr>
        <w:t xml:space="preserve"> </w:t>
      </w:r>
      <w:r>
        <w:rPr>
          <w:rFonts w:ascii="Times New Roman" w:hAnsi="Times New Roman"/>
          <w:i/>
          <w:color w:val="000000"/>
          <w:sz w:val="16"/>
        </w:rPr>
        <w:t>and restricted cash of $1.3</w:t>
      </w:r>
      <w:r>
        <w:rPr>
          <w:color w:val="000000"/>
        </w:rPr>
        <w:t xml:space="preserve"> </w:t>
      </w:r>
      <w:r>
        <w:rPr>
          <w:rFonts w:ascii="Times New Roman" w:hAnsi="Times New Roman"/>
          <w:i/>
          <w:color w:val="000000"/>
          <w:sz w:val="16"/>
        </w:rPr>
        <w:t>million and $2.6</w:t>
      </w:r>
      <w:r>
        <w:rPr>
          <w:color w:val="000000"/>
        </w:rPr>
        <w:t xml:space="preserve"> </w:t>
      </w:r>
      <w:r>
        <w:rPr>
          <w:rFonts w:ascii="Times New Roman" w:hAnsi="Times New Roman"/>
          <w:i/>
          <w:color w:val="000000"/>
          <w:sz w:val="16"/>
        </w:rPr>
        <w:t>million is included in Other current assets and Other assets, respectively, as of March 29, 2025. Restricted cash of $1.4</w:t>
      </w:r>
      <w:r>
        <w:rPr>
          <w:color w:val="000000"/>
        </w:rPr>
        <w:t xml:space="preserve"> </w:t>
      </w:r>
      <w:r>
        <w:rPr>
          <w:rFonts w:ascii="Times New Roman" w:hAnsi="Times New Roman"/>
          <w:i/>
          <w:color w:val="000000"/>
          <w:sz w:val="16"/>
        </w:rPr>
        <w:t>million and $2.0</w:t>
      </w:r>
      <w:r>
        <w:rPr>
          <w:color w:val="000000"/>
        </w:rPr>
        <w:t xml:space="preserve"> </w:t>
      </w:r>
      <w:r>
        <w:rPr>
          <w:rFonts w:ascii="Times New Roman" w:hAnsi="Times New Roman"/>
          <w:i/>
          <w:color w:val="000000"/>
          <w:sz w:val="16"/>
        </w:rPr>
        <w:t>million is included in Other current assets and Other assets, respectively, as of December 27,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Weeks Ended March 28, 2026 and March 29, 2025</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78"/>
        <w:gridCol w:w="146"/>
        <w:gridCol w:w="282"/>
        <w:gridCol w:w="484"/>
        <w:gridCol w:w="146"/>
        <w:gridCol w:w="146"/>
        <w:gridCol w:w="211"/>
        <w:gridCol w:w="721"/>
        <w:gridCol w:w="166"/>
        <w:gridCol w:w="146"/>
        <w:gridCol w:w="378"/>
        <w:gridCol w:w="838"/>
        <w:gridCol w:w="166"/>
        <w:gridCol w:w="146"/>
        <w:gridCol w:w="211"/>
        <w:gridCol w:w="721"/>
        <w:gridCol w:w="146"/>
        <w:gridCol w:w="146"/>
        <w:gridCol w:w="211"/>
        <w:gridCol w:w="781"/>
        <w:gridCol w:w="166"/>
        <w:gridCol w:w="146"/>
        <w:gridCol w:w="211"/>
        <w:gridCol w:w="721"/>
        <w:gridCol w:w="391"/>
      </w:tblGrid>
      <w:tr>
        <w:trPr/>
        <w:tc>
          <w:tcPr>
            <w:tcW w:w="2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center"/>
        <w:rPr/>
      </w:pPr>
      <w:r>
        <w:rPr/>
        <w:t> </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 and Principles of Consolidation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is an industry leading home, security and digital products company whose purpose is to elevate every life by transforming spaces into havens that has a portfolio of leading branded products used for residential home repair, remodeling, new construction and security applications. References to “Fortune Brands,” “the Company,” “we,” “our” and “us” refer to Fortune Brands Innovations, Inc. and its consolidated subsidiaries as a whole, unless the context otherwise requires.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notes are presented pursuant to the rules and regulations of the Securities and Exchange Commission (“SEC”) and do not contain certain information included in our annual audited consolidated financial statements and notes. The December 27, 2025 condensed consolidated balance sheet was derived from our audited consolidated financial statements, but does not include all disclosures required by U.S. generally accepted accounting principles (“GAAP”). This Quarterly Report on Form 10-Q should be read in conjunction with the audited consolidated financial statements and notes included in our Annual Report on Form 10-K for the year ended December 27,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condensed consolidated balance sheets as of March 28, 2026, the related condensed consolidated statements of comprehensive income, equity and cash flows for the thirteen weeks ended March 28, 2026 and the condensed consolidated statements of comprehensive income, equity and cash flows for the thirteen weeks ended March 29, 2025 are unaudited. The presentation of these financial statements requires us to make estimates and assumptions that affect reported amounts and related disclosures. Actual results could differ from those estimates. In the opinion of management, all adjustments necessary for a fair statement of the financial statements have been included. Interim results may not be indicative of results for a full year.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Recently Issued Accounting Standards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disaggregated disclosure of certain expenses on an interim and annual basis in the notes to the financial statements. This standard is effective for annual reporting periods beginning after December 15, 2026 and interim reporting periods beginning after December 15, 2027, with early adoption permitted. We are currently evaluating the impact of this new standard on our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The standard eliminates references to "development project stages" and clarifies the threshold to begin capitalizing internal-use software costs. The ASU is effective for fiscal years beginning after December 15, 2027 and interim periods within those fiscal years, with early adoption permitted. An entity may apply the amendments prospectively, retrospectively, or utilizing a modified transition approach. We are currently evaluating the impact of this new standard on our consolidated financial statements.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3. Balance Sheet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Supplemental information on our balance sheets is as follows: </w:t>
      </w:r>
    </w:p>
    <w:p>
      <w:pPr>
        <w:pStyle w:val="TextBody"/>
        <w:bidi w:val="0"/>
        <w:jc w:val="left"/>
        <w:rPr/>
      </w:pPr>
      <w:r>
        <w:rPr/>
        <w:t> </w:t>
      </w:r>
    </w:p>
    <w:tbl>
      <w:tblPr>
        <w:tblW w:w="6915" w:type="dxa"/>
        <w:jc w:val="left"/>
        <w:tblInd w:w="0" w:type="dxa"/>
        <w:tblLayout w:type="fixed"/>
        <w:tblCellMar>
          <w:top w:w="28" w:type="dxa"/>
          <w:left w:w="28" w:type="dxa"/>
          <w:bottom w:w="28" w:type="dxa"/>
          <w:right w:w="28" w:type="dxa"/>
        </w:tblCellMar>
      </w:tblPr>
      <w:tblGrid>
        <w:gridCol w:w="3126"/>
        <w:gridCol w:w="146"/>
        <w:gridCol w:w="285"/>
        <w:gridCol w:w="975"/>
        <w:gridCol w:w="146"/>
        <w:gridCol w:w="146"/>
        <w:gridCol w:w="339"/>
        <w:gridCol w:w="1161"/>
        <w:gridCol w:w="591"/>
      </w:tblGrid>
      <w:tr>
        <w:trPr/>
        <w:tc>
          <w:tcPr>
            <w:tcW w:w="3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third quarter of 2025, we determined that certain assets, with a carrying value of $153.6 million as of December 28, 2024, met the criteria to be classified as held-for-sale and ceased recording depreciation. The decision to dispose of the assets was driven by a strategic refocusing of the business towards areas with higher growth and profitability potential and the ability to leverage available capacity at existing manufacturing facilities. We concluded that the carrying value of these assets exceeded their fair value, less estimated costs to sell, and recorded an impairment charge of $49.7 million within the Outdoors segment.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third quarter of 2025, we determined that assets with a carrying value of $13.1 million as of December 24, 2024 met the criteria to be classified as held-for-sale and ceased recording depreciation. The decision to dispose of the assets was driven by the Company's decision to consolidate its U.S. regional offices into one campus headquarters. We concluded the carrying value of these assets exceeded their fair value, less estimated costs to sell, and recorded an impairment charge of $0.4 million within the Outdoors segment. During the fourth quarter of 2025, we determined that additional assets to be disposed related to this decision, with a carrying value of $12.9 million as of December 28, 2024, met the criteria to be classified as held-for-sale and ceased recording depreciation. We concluded the carrying value of these assets exceeded their fair value, less estimated costs to sell, and recorded an impairment charge of $3.5 million within the Water segment.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estimated fair values were determined using a combination of market and income approaches, which were based on valuation assumptions including certain Level 3 inputs. These assumptions included estimated sublease rental income, discount rates, market sales data and other market participant assumptions. The assets were reclassified from Property, plant and equipment, net to Assets held for sale in our Consolidated Balance Sheets.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first quarter of 2026, we completed the sale of certain assets within the Outdoors and Water segments. The total proceeds received were $9.8 million. The sale of these assets resulted in a net loss of zero.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Goodwill and Identifiable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goodwill of $2,002.7 million and $2,006.4 million as of March 28, 2026 and December 27, 2025, respectively. The change in the net carrying amount of goodwill by segment was as follows:</w:t>
      </w:r>
    </w:p>
    <w:p>
      <w:pPr>
        <w:pStyle w:val="TextBody"/>
        <w:bidi w:val="0"/>
        <w:spacing w:before="120" w:after="283"/>
        <w:jc w:val="left"/>
        <w:rPr/>
      </w:pPr>
      <w:r>
        <w:rPr/>
        <w:t> </w:t>
      </w:r>
    </w:p>
    <w:tbl>
      <w:tblPr>
        <w:tblW w:w="9536" w:type="dxa"/>
        <w:jc w:val="left"/>
        <w:tblInd w:w="0" w:type="dxa"/>
        <w:tblLayout w:type="fixed"/>
        <w:tblCellMar>
          <w:top w:w="28" w:type="dxa"/>
          <w:left w:w="28" w:type="dxa"/>
          <w:bottom w:w="28" w:type="dxa"/>
          <w:right w:w="28" w:type="dxa"/>
        </w:tblCellMar>
      </w:tblPr>
      <w:tblGrid>
        <w:gridCol w:w="4641"/>
        <w:gridCol w:w="146"/>
        <w:gridCol w:w="211"/>
        <w:gridCol w:w="721"/>
        <w:gridCol w:w="166"/>
        <w:gridCol w:w="146"/>
        <w:gridCol w:w="214"/>
        <w:gridCol w:w="582"/>
        <w:gridCol w:w="146"/>
        <w:gridCol w:w="146"/>
        <w:gridCol w:w="211"/>
        <w:gridCol w:w="571"/>
        <w:gridCol w:w="166"/>
        <w:gridCol w:w="146"/>
        <w:gridCol w:w="211"/>
        <w:gridCol w:w="721"/>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Outdoors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Goodwill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at December 27, 2025</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Year-to-date 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at March 28, 2026</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i/>
          <w:color w:val="000000"/>
          <w:sz w:val="16"/>
        </w:rPr>
        <w:t>(a) Net of accumulated impairment losses of $399.5</w:t>
      </w:r>
      <w:r>
        <w:rPr>
          <w:rFonts w:ascii="Times New Roman" w:hAnsi="Times New Roman"/>
          <w:color w:val="000000"/>
          <w:sz w:val="20"/>
        </w:rPr>
        <w:t xml:space="preserve"> </w:t>
      </w:r>
      <w:r>
        <w:rPr>
          <w:rFonts w:ascii="Times New Roman" w:hAnsi="Times New Roman"/>
          <w:i/>
          <w:color w:val="000000"/>
          <w:sz w:val="16"/>
        </w:rPr>
        <w:t>million in the Outdoors segment.</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We test goodwill for impairment annually during the fourth quarter, or whenever events or circumstances may indicate that the carrying value of a reporting unit may be greater than its fair value. The Company has three reporting units, Water, Outdoors, and Security, which are determined in accordance with the provisions of ASC 350, </w:t>
      </w:r>
      <w:r>
        <w:rPr>
          <w:rFonts w:ascii="Times New Roman" w:hAnsi="Times New Roman"/>
          <w:i/>
          <w:color w:val="000000"/>
          <w:sz w:val="20"/>
        </w:rPr>
        <w:t>Intangibles - and Other.</w:t>
      </w:r>
      <w:r>
        <w:rPr>
          <w:rFonts w:ascii="Times New Roman" w:hAnsi="Times New Roman"/>
          <w:color w:val="000000"/>
          <w:sz w:val="20"/>
        </w:rPr>
        <w:t xml:space="preserve"> The historical cushion on the Outdoors reporting unit and the recent and sustained decline in the Company's stock price since the last impairment test conducted in the fourth quarter of 2025 triggered the Company to perform an interim goodwill impairment test at the Outdoors reporting unit as of March 28, 2026. The fair value of the reporting unit was determined based on an equally weighted combination of a discounted cash flow analysis, or income approach, and a guideline public company method, or market approach, based on market multiples of comparable companies. The most significant assumptions used in the fair value analysis were forecasted revenue growth rates, operating income margins, market participant discount rates, and EBITDA multiples. As a result of this test, we determined that no impairment existed for the Outdoors reporting unit and that fair value substantially exceeded the carrying value.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gross carrying value and accumulated amortization by class of identifiable intangible assets as of March 28, 2026 and December 27, 2025 were as follows:</w:t>
      </w:r>
    </w:p>
    <w:tbl>
      <w:tblPr>
        <w:tblW w:w="10205" w:type="dxa"/>
        <w:jc w:val="left"/>
        <w:tblInd w:w="0" w:type="dxa"/>
        <w:tblLayout w:type="fixed"/>
        <w:tblCellMar>
          <w:top w:w="28" w:type="dxa"/>
          <w:left w:w="28" w:type="dxa"/>
          <w:bottom w:w="28" w:type="dxa"/>
          <w:right w:w="28" w:type="dxa"/>
        </w:tblCellMar>
      </w:tblPr>
      <w:tblGrid>
        <w:gridCol w:w="2278"/>
        <w:gridCol w:w="146"/>
        <w:gridCol w:w="211"/>
        <w:gridCol w:w="721"/>
        <w:gridCol w:w="146"/>
        <w:gridCol w:w="146"/>
        <w:gridCol w:w="270"/>
        <w:gridCol w:w="811"/>
        <w:gridCol w:w="166"/>
        <w:gridCol w:w="146"/>
        <w:gridCol w:w="211"/>
        <w:gridCol w:w="721"/>
        <w:gridCol w:w="146"/>
        <w:gridCol w:w="146"/>
        <w:gridCol w:w="211"/>
        <w:gridCol w:w="721"/>
        <w:gridCol w:w="146"/>
        <w:gridCol w:w="146"/>
        <w:gridCol w:w="270"/>
        <w:gridCol w:w="811"/>
        <w:gridCol w:w="166"/>
        <w:gridCol w:w="146"/>
        <w:gridCol w:w="211"/>
        <w:gridCol w:w="721"/>
        <w:gridCol w:w="391"/>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27,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Book</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and contractual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Patents/proprietary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$2.9 million decrease in gross identifiable intangible assets was primarily due to foreign currency translation adjustments.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Amortizable identifiable intangible assets, primarily customer relationships, are amortized over their estimated useful life, ranging from 5 to 30 years, based on the assessment of a number of factors that may impact useful life, which includes customer attrition rates and other relevant factors.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External Debt and Financing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Senior Notes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28, 2026, the Company had aggregate outstanding senior notes in the principal amount of $2.2 billion, with varying maturities (the “Notes”). The Notes are unsecured senior obligations of the Company. The following table provides a summary of the Company’s outstanding Notes, including the net carrying value of the Notes, net of underwriting commissions, price discounts, and debt issuance costs as of March 28, 2026 and December 27, 2025:</w:t>
      </w:r>
    </w:p>
    <w:tbl>
      <w:tblPr>
        <w:tblW w:w="10205" w:type="dxa"/>
        <w:jc w:val="left"/>
        <w:tblInd w:w="0" w:type="dxa"/>
        <w:tblLayout w:type="fixed"/>
        <w:tblCellMar>
          <w:top w:w="28" w:type="dxa"/>
          <w:left w:w="28" w:type="dxa"/>
          <w:bottom w:w="28" w:type="dxa"/>
          <w:right w:w="28" w:type="dxa"/>
        </w:tblCellMar>
      </w:tblPr>
      <w:tblGrid>
        <w:gridCol w:w="2341"/>
        <w:gridCol w:w="361"/>
        <w:gridCol w:w="980"/>
        <w:gridCol w:w="146"/>
        <w:gridCol w:w="146"/>
        <w:gridCol w:w="1385"/>
        <w:gridCol w:w="146"/>
        <w:gridCol w:w="1385"/>
        <w:gridCol w:w="146"/>
        <w:gridCol w:w="278"/>
        <w:gridCol w:w="953"/>
        <w:gridCol w:w="146"/>
        <w:gridCol w:w="146"/>
        <w:gridCol w:w="327"/>
        <w:gridCol w:w="1123"/>
        <w:gridCol w:w="196"/>
      </w:tblGrid>
      <w:tr>
        <w:trPr/>
        <w:tc>
          <w:tcPr>
            <w:tcW w:w="23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 millions)</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3.250% Senior Notes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 Senior Notes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4.500% Senior Notes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5.875% Senior Notes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Senior Notes long-term</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Credit 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2026, the Company entered into a fourth amended and restated $1.25 billion revolving credit facility (the “Revolving Credit Agreement”), and borrowings thereunder will be used for general corporate purposes. The maturity date of the facility is January 2031. Borrowings under the Revolving Credit Agreement will bear interest at variable rates equal to, at the Company’s election, the term Secured Overnight Financing Rate ("SOFR") plus an applicable term SOFR margin for an interest period selected by the Company. The applicable term SOFR rate margin will be determined based on the ratings of the Company’s senior unsecured long-term debt securities. The daily simple SOFR rate margins range from 0.80% to 1.30%. Under the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one-time adjustments. In addition, the Company's ratio of consolidated debt minus certain cash and cash equivalents to consolidated EBITDA generally may not exceed 3.5 to 1.0. There were no outstanding borrowings under this facility as of March 28, 2026 and December 27, 2025. As of March 28, 2026, we were in compliance with all covenants under this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uncommitted bank lines of credit in China, which provide for unsecured borrowings for working capital of up to $30.5 million in aggregate as of March 28, 2026 and December 27, 2025. There were no outstanding balances as of March 28, 2026 and December 27,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Commercial Paper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operates a commercial paper program (the “Commercial Paper Program”) pursuant to which the Company may issue unsecured commercial paper notes. The Company’s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Revolving Credit Agreement, not to exceed $1.25 billion. The Company will use any issuances under the Commercial Paper Program for general corporate purposes. Outstanding borrowings under the Commercial Paper Program as of March 28, 2026 and December 27, 2025 were $537.0 million and $368.8 million,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Financial Instruments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enter into financial instruments for trading or speculative purposes. We principally use financial instruments to reduce the impact of changes in foreign currency exchange rates and commodities used as raw materials in our products. The principal derivative financial instruments we enter into on a routine basis are foreign exchange contracts. Derivative financial instruments are recorded at fair value. The counterparties to derivative contracts are major financial institutions. We are subject to credit risk on these contracts equal to the fair value of these instruments. Management currently believes that the risk of incurring material losses is unlikely and that the losses, if any, would be immaterial to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Raw materials used by the Company are subject to price volatility caused by weather, supply conditions, geopolitical and economic variables, and other unpredictable external factors. As a result, from time to time, we enter into commodity swaps to manage the price risk associated with forecasted purchases of materials used in our operations. We account for these commodity derivatives as economic hedges or cash flow hedges. Changes in the fair value of economic hedges are immediately recognized in current period earnings.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be exposed to interest rate risk on existing debt or forecasted debt issuance. To mitigate this risk, we may enter into interest rate hedge contracts. There were no outstanding interest rate hedge contracts as of March 28,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enter into foreign currency forward contracts to protect against foreign exchange risks associated with certain existing assets and liabilities, forecasted future cash flows, and net investments in foreign subsidiaries. Foreign exchange contracts related to forecasted future cash flows correspond to the periods of the forecasted transactions, which generally do not exceed 12 to 15 months subsequent to the latest balance sheet date. Our primary foreign currency hedge contracts pertain to the British pound, the Canadian dollar, and the Mexican peso. The gross U.S. dollar equivalent notional amount of all foreign currency derivative hedges outstanding at March 28, 2026 was $656.1 million. Based on foreign exchange rates as of March 28, 2026, we estimate that $11.6 million of net derivative gains included in accumulated other comprehensive income as of March 28, 2026 will be reclassified to earnings within the next twelve months.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entered into cross-currency swap contracts to hedge both our Canadian dollar and Chinese yuan exposures of the Company's net investments in certain foreign subsidiaries. As of March 28, 2026, the notional value of the cross-currency swap contracts was $141.0 million and expire at various dates through November 2026. The cross-currency swaps were designated as net investment hedges, with the amount of gain or loss associated with the change in fair value of these instruments included within accumulated other comprehensive income and recognized upon termination of the respective net investment.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derivative instruments that are designated as fair value hedges, the gain or loss on the derivative instrument, as well as the offsetting loss or gain on the hedged item, are recognized on the same line of the consolidated statements of income. The changes in the fair value of cash flow hedges are reported in accumulated other comprehensive income and are recognized in the consolidated statements of income when the hedged item affects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values of derivative instruments on the consolidated balance sheets as of March 28, 2026 and December 27, 2025 were as follows: </w:t>
      </w:r>
    </w:p>
    <w:p>
      <w:pPr>
        <w:pStyle w:val="TextBody"/>
        <w:bidi w:val="0"/>
        <w:spacing w:before="240" w:after="283"/>
        <w:jc w:val="left"/>
        <w:rPr/>
      </w:pPr>
      <w:r>
        <w:rPr/>
        <w:t> </w:t>
      </w:r>
    </w:p>
    <w:tbl>
      <w:tblPr>
        <w:tblW w:w="8087" w:type="dxa"/>
        <w:jc w:val="left"/>
        <w:tblInd w:w="0" w:type="dxa"/>
        <w:tblLayout w:type="fixed"/>
        <w:tblCellMar>
          <w:top w:w="28" w:type="dxa"/>
          <w:left w:w="28" w:type="dxa"/>
          <w:bottom w:w="28" w:type="dxa"/>
          <w:right w:w="28" w:type="dxa"/>
        </w:tblCellMar>
      </w:tblPr>
      <w:tblGrid>
        <w:gridCol w:w="2356"/>
        <w:gridCol w:w="346"/>
        <w:gridCol w:w="1996"/>
        <w:gridCol w:w="146"/>
        <w:gridCol w:w="464"/>
        <w:gridCol w:w="796"/>
        <w:gridCol w:w="146"/>
        <w:gridCol w:w="146"/>
        <w:gridCol w:w="552"/>
        <w:gridCol w:w="948"/>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hedges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derivative financial instruments on the statements of comprehensive income for the thirteen weeks ended March 28, 2026 and March 29, 2025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698"/>
        <w:gridCol w:w="146"/>
        <w:gridCol w:w="253"/>
        <w:gridCol w:w="687"/>
        <w:gridCol w:w="199"/>
        <w:gridCol w:w="175"/>
        <w:gridCol w:w="253"/>
        <w:gridCol w:w="560"/>
        <w:gridCol w:w="175"/>
        <w:gridCol w:w="175"/>
        <w:gridCol w:w="365"/>
        <w:gridCol w:w="702"/>
        <w:gridCol w:w="817"/>
      </w:tblGrid>
      <w:tr>
        <w:trPr/>
        <w:tc>
          <w:tcPr>
            <w:tcW w:w="5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and Amount of Gain (Loss)</w:t>
              <w:br/>
              <w:t>   Recognized in Income on Hedging Relationships</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w:t>
              <w:br/>
              <w:t>products sold</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expense</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income, net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per Consolidated 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Hedged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Derivative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cash flow hedging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and Amount of Gain (Loss)</w:t>
              <w:br/>
              <w:t>   Recognized in Income on Hedging Relationships</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w:t>
              <w:br/>
              <w:t>products sold</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expense</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income, net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per Consolidated 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Hedged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Derivative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cash flow hedging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hierarchy consists of the following three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valuations are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valuations based on quoted prices for similar instruments in active markets, quoted prices for identified or similar instruments in markets that are not active and model-based valuations in which all significant inputs are observable in the market;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Level 3 - valuations using unobservable inputs, due to little or no</w:t>
      </w:r>
      <w:r>
        <w:rPr>
          <w:color w:val="000000"/>
        </w:rPr>
        <w:t xml:space="preserve"> </w:t>
      </w:r>
      <w:r>
        <w:rPr>
          <w:rFonts w:ascii="Times New Roman" w:hAnsi="Times New Roman"/>
          <w:color w:val="000000"/>
          <w:sz w:val="20"/>
        </w:rPr>
        <w:t xml:space="preserve">market activity for the asset or liability, such as internally-developed valuation models.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and fair value of debt as of March 28, 2026 and December 27,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64"/>
        <w:gridCol w:w="146"/>
        <w:gridCol w:w="211"/>
        <w:gridCol w:w="721"/>
        <w:gridCol w:w="146"/>
        <w:gridCol w:w="146"/>
        <w:gridCol w:w="211"/>
        <w:gridCol w:w="721"/>
        <w:gridCol w:w="146"/>
        <w:gridCol w:w="146"/>
        <w:gridCol w:w="211"/>
        <w:gridCol w:w="721"/>
        <w:gridCol w:w="146"/>
        <w:gridCol w:w="146"/>
        <w:gridCol w:w="211"/>
        <w:gridCol w:w="721"/>
        <w:gridCol w:w="291"/>
      </w:tblGrid>
      <w:tr>
        <w:trPr/>
        <w:tc>
          <w:tcPr>
            <w:tcW w:w="5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net of underwriting commissions, price discounts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estimated fair value of our Notes is determined by using quoted market prices of our debt securities, which are Level 1 inputs. The estimated fair value of borrowings under our Commercial Paper Program is determined primarily using broker quotes, which are Level 2 inputs, and are equal to their carrying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on a recurring basis as of March 28, 2026 and December 27, 2025 were as follows: </w:t>
      </w:r>
    </w:p>
    <w:p>
      <w:pPr>
        <w:pStyle w:val="TextBody"/>
        <w:bidi w:val="0"/>
        <w:jc w:val="left"/>
        <w:rPr/>
      </w:pPr>
      <w:r>
        <w:rPr/>
        <w:t> </w:t>
      </w:r>
    </w:p>
    <w:tbl>
      <w:tblPr>
        <w:tblW w:w="6900" w:type="dxa"/>
        <w:jc w:val="left"/>
        <w:tblInd w:w="0" w:type="dxa"/>
        <w:tblLayout w:type="fixed"/>
        <w:tblCellMar>
          <w:top w:w="28" w:type="dxa"/>
          <w:left w:w="28" w:type="dxa"/>
          <w:bottom w:w="28" w:type="dxa"/>
          <w:right w:w="28" w:type="dxa"/>
        </w:tblCellMar>
      </w:tblPr>
      <w:tblGrid>
        <w:gridCol w:w="3511"/>
        <w:gridCol w:w="146"/>
        <w:gridCol w:w="464"/>
        <w:gridCol w:w="796"/>
        <w:gridCol w:w="146"/>
        <w:gridCol w:w="146"/>
        <w:gridCol w:w="552"/>
        <w:gridCol w:w="94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Accumulated Other Comprehensive Income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after-tax components of and changes in accumulated other comprehensive (loss) income for the thirteen weeks ended March 28, 2026 and March 29, 2025 were as follows: </w:t>
      </w:r>
    </w:p>
    <w:p>
      <w:pPr>
        <w:pStyle w:val="TextBody"/>
        <w:bidi w:val="0"/>
        <w:jc w:val="left"/>
        <w:rPr/>
      </w:pPr>
      <w:r>
        <w:rPr/>
        <w:t> </w:t>
      </w:r>
    </w:p>
    <w:tbl>
      <w:tblPr>
        <w:tblW w:w="10137" w:type="dxa"/>
        <w:jc w:val="left"/>
        <w:tblInd w:w="0" w:type="dxa"/>
        <w:tblLayout w:type="fixed"/>
        <w:tblCellMar>
          <w:top w:w="28" w:type="dxa"/>
          <w:left w:w="28" w:type="dxa"/>
          <w:bottom w:w="28" w:type="dxa"/>
          <w:right w:w="28" w:type="dxa"/>
        </w:tblCellMar>
      </w:tblPr>
      <w:tblGrid>
        <w:gridCol w:w="4471"/>
        <w:gridCol w:w="146"/>
        <w:gridCol w:w="288"/>
        <w:gridCol w:w="718"/>
        <w:gridCol w:w="166"/>
        <w:gridCol w:w="146"/>
        <w:gridCol w:w="294"/>
        <w:gridCol w:w="651"/>
        <w:gridCol w:w="166"/>
        <w:gridCol w:w="146"/>
        <w:gridCol w:w="288"/>
        <w:gridCol w:w="718"/>
        <w:gridCol w:w="166"/>
        <w:gridCol w:w="146"/>
        <w:gridCol w:w="378"/>
        <w:gridCol w:w="838"/>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Hedging</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w:t>
              <w:br/>
              <w:t>Benefit</w:t>
              <w:br/>
              <w:t>Plan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classified into accumulated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classified into accumulated other</w:t>
              <w:br/>
              <w:t>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reclassifications out of accumulated other comprehensive loss for the thirteen weeks ended March 28, 2026 and March 29,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5"/>
        <w:gridCol w:w="146"/>
        <w:gridCol w:w="816"/>
        <w:gridCol w:w="1589"/>
        <w:gridCol w:w="283"/>
        <w:gridCol w:w="250"/>
        <w:gridCol w:w="816"/>
        <w:gridCol w:w="1589"/>
        <w:gridCol w:w="166"/>
        <w:gridCol w:w="146"/>
        <w:gridCol w:w="1889"/>
      </w:tblGrid>
      <w:tr>
        <w:trPr/>
        <w:tc>
          <w:tcPr>
            <w:tcW w:w="2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r>
      <w:tr>
        <w:trPr/>
        <w:tc>
          <w:tcPr>
            <w:tcW w:w="2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Details about Accumulated Other</w:t>
              <w:br/>
              <w:t>Comprehensive Loss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Reclassified from </w:t>
              <w:b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Affected Line Item in</w:t>
              <w:br/>
              <w:t>the Statement of</w:t>
              <w:br/>
              <w:t>Comprehensive Income</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Gains (losses)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 sold</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disaggregates our consolidated revenue by major sales distribution channels for the thirteen weeks ended March 28, 2026 and March 29, 2025:</w:t>
      </w:r>
    </w:p>
    <w:p>
      <w:pPr>
        <w:pStyle w:val="TextBody"/>
        <w:bidi w:val="0"/>
        <w:jc w:val="left"/>
        <w:rPr/>
      </w:pPr>
      <w:r>
        <w:rPr/>
        <w:t> </w:t>
      </w:r>
    </w:p>
    <w:tbl>
      <w:tblPr>
        <w:tblW w:w="8666" w:type="dxa"/>
        <w:jc w:val="left"/>
        <w:tblInd w:w="0" w:type="dxa"/>
        <w:tblLayout w:type="fixed"/>
        <w:tblCellMar>
          <w:top w:w="28" w:type="dxa"/>
          <w:left w:w="28" w:type="dxa"/>
          <w:bottom w:w="28" w:type="dxa"/>
          <w:right w:w="28" w:type="dxa"/>
        </w:tblCellMar>
      </w:tblPr>
      <w:tblGrid>
        <w:gridCol w:w="2041"/>
        <w:gridCol w:w="146"/>
        <w:gridCol w:w="662"/>
        <w:gridCol w:w="2263"/>
        <w:gridCol w:w="146"/>
        <w:gridCol w:w="146"/>
        <w:gridCol w:w="662"/>
        <w:gridCol w:w="2263"/>
        <w:gridCol w:w="14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Wholesalers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Home Center retailers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retailers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International</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(a)</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Represents sales to customers whose business is oriented towards builders, professional trade people and home remodelers, inclusive of sales through our customers’ respective internet website portals.</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(b)</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Represents sales to the three largest “Do-It-Yourself” retailers: The Home Depot, Inc., Lowe's Companies, Inc. and Menards, Inc., inclusive of sales through their respective internet website portals.</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(c)</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Represents sales principally to our mass merchant and standalone independent e-commerce customers.</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(d)</w:t>
      </w:r>
    </w:p>
    <w:p>
      <w:pPr>
        <w:pStyle w:val="TextBody"/>
        <w:bidi w:val="0"/>
        <w:jc w:val="left"/>
        <w:rPr>
          <w:rFonts w:ascii="Times New Roman" w:hAnsi="Times New Roman"/>
          <w:i/>
          <w:color w:val="000000"/>
          <w:sz w:val="16"/>
        </w:rPr>
      </w:pPr>
      <w:r>
        <w:rPr>
          <w:rFonts w:ascii="Times New Roman" w:hAnsi="Times New Roman"/>
          <w:i/>
          <w:color w:val="000000"/>
          <w:sz w:val="16"/>
        </w:rPr>
        <w:t>Represents sales in markets outside the United States, principally in China, Canada, Europe and Mexico.</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contracts with customers, we recognize contract liabilities, principally deferred revenue. Deferred revenue liabilities represent advanced payments and billings in excess of revenue recognized. Deferred revenue liabilities of $18.2 million and $20.0 million as of March 28, 2026 and March 29, 2025, respectively, were included in Other current liabilities in our consolidated balance sheet, and $13.8 million and $12.1 million as of March 28, 2026 and March 29, 2025, respectively, were included in Other noncurrent liabilities in our consolidated balance sheet.</w:t>
      </w:r>
    </w:p>
    <w:p>
      <w:pPr>
        <w:pStyle w:val="TextBody"/>
        <w:bidi w:val="0"/>
        <w:spacing w:before="4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Defined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net periodic benefit cost for pension benefits for the thirteen weeks ended March 28, 2026 and March 29, 2025 were as follows:</w:t>
      </w:r>
    </w:p>
    <w:p>
      <w:pPr>
        <w:pStyle w:val="TextBody"/>
        <w:bidi w:val="0"/>
        <w:jc w:val="left"/>
        <w:rPr/>
      </w:pPr>
      <w:r>
        <w:rPr/>
        <w:t> </w:t>
      </w:r>
    </w:p>
    <w:tbl>
      <w:tblPr>
        <w:tblW w:w="9100" w:type="dxa"/>
        <w:jc w:val="left"/>
        <w:tblInd w:w="0" w:type="dxa"/>
        <w:tblLayout w:type="fixed"/>
        <w:tblCellMar>
          <w:top w:w="28" w:type="dxa"/>
          <w:left w:w="28" w:type="dxa"/>
          <w:bottom w:w="28" w:type="dxa"/>
          <w:right w:w="28" w:type="dxa"/>
        </w:tblCellMar>
      </w:tblPr>
      <w:tblGrid>
        <w:gridCol w:w="2581"/>
        <w:gridCol w:w="973"/>
        <w:gridCol w:w="1952"/>
        <w:gridCol w:w="166"/>
        <w:gridCol w:w="146"/>
        <w:gridCol w:w="973"/>
        <w:gridCol w:w="1952"/>
        <w:gridCol w:w="166"/>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rates for the thirteen weeks ended March 28, 2026 and thirteen weeks ended March 29, 2025 were 28.4% and 25.9%, respectively. The difference between the Company’s effective income tax rate for the thirteen weeks ended March 28, 2026, and the U.S. statutory rate of 21% primarily relates to state income taxes and equity compensation.</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record warranty expense related to contractual warranty terms at the time of sale. We may also provide customer concessions for claims made outside of the contractual warranty terms and those expenses are recorded in the period in which the concession is made. We offer our customers various warranty terms based on the type of product that is sold. Warranty expense is determined based on historic claim experience and the nature of the product category. The following table summarizes activity related to our product warranty liability for the thirteen weeks ended March 28, 2026 and March 29, 2025.</w:t>
      </w:r>
    </w:p>
    <w:p>
      <w:pPr>
        <w:pStyle w:val="TextBody"/>
        <w:bidi w:val="0"/>
        <w:jc w:val="left"/>
        <w:rPr/>
      </w:pPr>
      <w:r>
        <w:rPr/>
        <w:t> </w:t>
      </w:r>
    </w:p>
    <w:tbl>
      <w:tblPr>
        <w:tblW w:w="9820" w:type="dxa"/>
        <w:jc w:val="left"/>
        <w:tblInd w:w="0" w:type="dxa"/>
        <w:tblLayout w:type="fixed"/>
        <w:tblCellMar>
          <w:top w:w="28" w:type="dxa"/>
          <w:left w:w="28" w:type="dxa"/>
          <w:bottom w:w="28" w:type="dxa"/>
          <w:right w:w="28" w:type="dxa"/>
        </w:tblCellMar>
      </w:tblPr>
      <w:tblGrid>
        <w:gridCol w:w="3301"/>
        <w:gridCol w:w="146"/>
        <w:gridCol w:w="909"/>
        <w:gridCol w:w="2016"/>
        <w:gridCol w:w="166"/>
        <w:gridCol w:w="146"/>
        <w:gridCol w:w="909"/>
        <w:gridCol w:w="201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warranties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(in cash or in 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13. Information on Business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operations are structured into three segments, Water, Outdoors and Security. These segments are strategic business units with differing products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chief operating decision maker (“CODM”), our Interim Chief Executive Officer, uses operating income to evaluate the performance of our segments and to make resource allocation decisions. Segment operating income excludes unallocated corporate costs. Operating income is the primary measure of segment profitability used in internal management reporting to the CODM. This measure is used to view operating trends, perform analytical comparisons and benchmark performance between periods, and to evaluate historical and forecasted financial performance as well as performance relative to our competitors. The monthly and quarterly results provided to the CODM include the net sales and operating income or loss of the consolidated Company and each segment. These financial results are reviewed against budget and the prior year in evaluating the performance of the segment. The CODM is also regularly provided qualitative and quantitative metrics to establish an understanding of drivers to the overall performance. The metrics provided include information at a functional level for the Company's operations and supply chain in addition to each segment. These metrics also include service and quality ratings, brand awareness, market performance and outlook, working capital efficiency, operational plant efficiency, commodity pricing, capital spending and an overview of transformation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 categories and amounts shown below align with the segment level information that is regularly provided to the CODM. Intersegment expenses are included within the amounts below. Other operating expenses principally consist of cost of sales and selling, general and administrative expenses, which are not provided to the CODM in managing performance of the operating segments.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Water segment manufactures or assembles and sells faucets, accessories, kitchen sinks and waste disposals, predominantly under the Moen, ROHL, Riobel, Victoria+Albert, Perrin &amp; Rowe, Aqualisa, Shaws, Emtek, Schaub and SpringWell brands. The Outdoors segment includes fiberglass and steel entry door systems under the Therma-Tru brand name, storm, screen and security doors under the Larson brand name, composite decking and railing under the Fiberon brand name, urethane millwork under the Fypon brand name and wide-opening exterior door systems and outdoor enclosures under the Solar Innovations brand. The Security segment includes locks, safety and security devices, connected and mechanical lock out tag out solutions and electronic security products under the Master Lock, American Lock, Yale and August brands, and fire-resistant safes, security containers and commercial cabinets under the SentrySafe brand. Corporate expenses consist primarily of headquarters administrative expenses. </w:t>
      </w:r>
    </w:p>
    <w:p>
      <w:pPr>
        <w:pStyle w:val="TextBody"/>
        <w:bidi w:val="0"/>
        <w:jc w:val="left"/>
        <w:rPr/>
      </w:pPr>
      <w:r>
        <w:rPr/>
        <w:t> </w:t>
      </w:r>
    </w:p>
    <w:tbl>
      <w:tblPr>
        <w:tblW w:w="9630"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571"/>
        <w:gridCol w:w="146"/>
        <w:gridCol w:w="146"/>
        <w:gridCol w:w="662"/>
        <w:gridCol w:w="2263"/>
        <w:gridCol w:w="47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Water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Outdoors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Thirteen Weeks Ended March 28,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i/>
          <w:color w:val="000000"/>
          <w:sz w:val="16"/>
        </w:rPr>
        <w:t>Other segment items recognized during the thirteen weeks ended March 28, 2026</w:t>
      </w:r>
      <w:r>
        <w:rPr>
          <w:rFonts w:ascii="Arial" w:hAnsi="Arial"/>
          <w:color w:val="000000"/>
          <w:sz w:val="16"/>
        </w:rPr>
        <w:t xml:space="preserve"> </w:t>
      </w:r>
      <w:r>
        <w:rPr>
          <w:rFonts w:ascii="Arial" w:hAnsi="Arial"/>
          <w:i/>
          <w:color w:val="000000"/>
          <w:sz w:val="16"/>
        </w:rPr>
        <w:t>include cost of sales and selling, general, and administrative expenses.</w:t>
      </w:r>
    </w:p>
    <w:p>
      <w:pPr>
        <w:pStyle w:val="TextBody"/>
        <w:bidi w:val="0"/>
        <w:spacing w:before="120" w:after="283"/>
        <w:jc w:val="left"/>
        <w:rPr/>
      </w:pPr>
      <w:r>
        <w:rPr/>
        <w:t> </w:t>
      </w:r>
    </w:p>
    <w:tbl>
      <w:tblPr>
        <w:tblW w:w="9550"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571"/>
        <w:gridCol w:w="146"/>
        <w:gridCol w:w="146"/>
        <w:gridCol w:w="662"/>
        <w:gridCol w:w="2263"/>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Water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Outdoors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Thirteen Weeks Ended March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i/>
          <w:color w:val="000000"/>
          <w:sz w:val="16"/>
        </w:rPr>
        <w:t>Other segment items recognized during the thirteen weeks ended March 29, 2025</w:t>
      </w:r>
      <w:r>
        <w:rPr>
          <w:rFonts w:ascii="Times New Roman" w:hAnsi="Times New Roman"/>
          <w:color w:val="000000"/>
          <w:sz w:val="20"/>
        </w:rPr>
        <w:t xml:space="preserve"> </w:t>
      </w:r>
      <w:r>
        <w:rPr>
          <w:rFonts w:ascii="Arial" w:hAnsi="Arial"/>
          <w:i/>
          <w:color w:val="000000"/>
          <w:sz w:val="16"/>
        </w:rPr>
        <w:t>include cost of sales and selling, general, and administrative expenses.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2025, we announced the decision to consolidate U.S. regional offices into one campus headquarters in Deerfield, Illinois. In connection with these consolidation activities and related organizational and personnel changes, the Company currently expects to continue to incur certain cash and non-cash restructuring and other charges related to employee relocation, severance, retention, non-cash asset related costs, lease exit costs, and other transition activities estimated in the range of approximately $100 million to $120 million in the aggregate. For the fifty-two weeks ended December 27, 2025, we incurred total charges of $89.6 million, including cash charges of $71.6 million primarily related to severance and other exit costs, and non-cash charges of $18.0 million primarily related to acceleration of property, plant and equipment depreciation. For the thirteen weeks ended March 28, 2026, we incurred total charges of $4.6 million, including cash charges of $5.1 million primarily related to severance and other exit costs, and non-cash income adjustments of $0.5 million. The estimated ranges of restructuring and other charges are provisional and include management judgments and assumptions that could change as we execute our plans. Actual results may differ from these estimates, and the execution of our plan could result in additional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restructuring and other charges for the thirteen weeks ended March 28, 2026 were as follows:</w:t>
      </w:r>
    </w:p>
    <w:p>
      <w:pPr>
        <w:pStyle w:val="TextBody"/>
        <w:bidi w:val="0"/>
        <w:spacing w:before="120" w:after="283"/>
        <w:jc w:val="left"/>
        <w:rPr/>
      </w:pPr>
      <w:r>
        <w:rPr/>
        <w:t> </w:t>
      </w:r>
    </w:p>
    <w:tbl>
      <w:tblPr>
        <w:tblW w:w="6807" w:type="dxa"/>
        <w:jc w:val="left"/>
        <w:tblInd w:w="0" w:type="dxa"/>
        <w:tblLayout w:type="fixed"/>
        <w:tblCellMar>
          <w:top w:w="28" w:type="dxa"/>
          <w:left w:w="28" w:type="dxa"/>
          <w:bottom w:w="28" w:type="dxa"/>
          <w:right w:w="28" w:type="dxa"/>
        </w:tblCellMar>
      </w:tblPr>
      <w:tblGrid>
        <w:gridCol w:w="976"/>
        <w:gridCol w:w="146"/>
        <w:gridCol w:w="409"/>
        <w:gridCol w:w="702"/>
        <w:gridCol w:w="146"/>
        <w:gridCol w:w="146"/>
        <w:gridCol w:w="620"/>
        <w:gridCol w:w="1060"/>
        <w:gridCol w:w="188"/>
        <w:gridCol w:w="188"/>
        <w:gridCol w:w="273"/>
        <w:gridCol w:w="544"/>
        <w:gridCol w:w="166"/>
        <w:gridCol w:w="146"/>
        <w:gridCol w:w="260"/>
        <w:gridCol w:w="446"/>
        <w:gridCol w:w="3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Charges (Gains) </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 Products Sold</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SG&amp;A </w:t>
            </w:r>
            <w:r>
              <w:rPr>
                <w:rFonts w:ascii="Times New Roman" w:hAnsi="Times New Roman"/>
                <w:b/>
                <w:color w:val="000000"/>
                <w:sz w:val="11"/>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Charges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16"/>
        </w:rPr>
      </w:pPr>
      <w:r>
        <w:rPr>
          <w:rFonts w:ascii="Arial" w:hAnsi="Arial"/>
          <w:i/>
          <w:color w:val="000000"/>
          <w:sz w:val="16"/>
        </w:rPr>
        <w:t>(a)</w:t>
      </w:r>
    </w:p>
    <w:p>
      <w:pPr>
        <w:pStyle w:val="TextBody"/>
        <w:bidi w:val="0"/>
        <w:spacing w:before="120" w:after="283"/>
        <w:jc w:val="left"/>
        <w:rPr>
          <w:color w:val="000000"/>
        </w:rPr>
      </w:pPr>
      <w:r>
        <w:rPr>
          <w:color w:val="000000"/>
        </w:rPr>
        <w:t>“</w:t>
      </w:r>
      <w:r>
        <w:rPr>
          <w:rFonts w:ascii="Arial" w:hAnsi="Arial"/>
          <w:i/>
          <w:color w:val="000000"/>
          <w:sz w:val="16"/>
        </w:rPr>
        <w:t>Other Charges” represent charges or gains directly related to restructuring initiatives that cannot be reported as restructuring under GAAP. Such charges or gains were incurred directly in connection with discrete, strategic restructuring activities and would not have been incurred otherwise.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spacing w:before="120" w:after="283"/>
        <w:jc w:val="left"/>
        <w:rPr>
          <w:rFonts w:ascii="Arial" w:hAnsi="Arial"/>
          <w:i/>
          <w:color w:val="000000"/>
          <w:sz w:val="16"/>
        </w:rPr>
      </w:pPr>
      <w:r>
        <w:rPr>
          <w:rFonts w:ascii="Arial" w:hAnsi="Arial"/>
          <w:i/>
          <w:color w:val="000000"/>
          <w:sz w:val="16"/>
        </w:rPr>
        <w:t>(b)</w:t>
      </w:r>
    </w:p>
    <w:p>
      <w:pPr>
        <w:pStyle w:val="TextBody"/>
        <w:bidi w:val="0"/>
        <w:spacing w:before="120" w:after="283"/>
        <w:jc w:val="left"/>
        <w:rPr>
          <w:rFonts w:ascii="Arial" w:hAnsi="Arial"/>
          <w:i/>
          <w:color w:val="000000"/>
          <w:sz w:val="16"/>
        </w:rPr>
      </w:pPr>
      <w:r>
        <w:rPr>
          <w:rFonts w:ascii="Arial" w:hAnsi="Arial"/>
          <w:i/>
          <w:color w:val="000000"/>
          <w:sz w:val="16"/>
        </w:rPr>
        <w:t>Selling, 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Restructuring and other charges for the thirteen weeks ended March 28, 2026 are primarily attributable to costs associated with the decision to consolidate our U.S. regional offices into one campus headquarters and related organizational and personnel changes.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other charges for the thirteen weeks ended March 29, 2025 were as follows:</w:t>
      </w:r>
    </w:p>
    <w:p>
      <w:pPr>
        <w:pStyle w:val="TextBody"/>
        <w:bidi w:val="0"/>
        <w:jc w:val="left"/>
        <w:rPr/>
      </w:pPr>
      <w:r>
        <w:rPr/>
        <w:t> </w:t>
      </w:r>
    </w:p>
    <w:tbl>
      <w:tblPr>
        <w:tblW w:w="6756" w:type="dxa"/>
        <w:jc w:val="left"/>
        <w:tblInd w:w="0" w:type="dxa"/>
        <w:tblLayout w:type="fixed"/>
        <w:tblCellMar>
          <w:top w:w="28" w:type="dxa"/>
          <w:left w:w="28" w:type="dxa"/>
          <w:bottom w:w="28" w:type="dxa"/>
          <w:right w:w="28" w:type="dxa"/>
        </w:tblCellMar>
      </w:tblPr>
      <w:tblGrid>
        <w:gridCol w:w="976"/>
        <w:gridCol w:w="146"/>
        <w:gridCol w:w="346"/>
        <w:gridCol w:w="765"/>
        <w:gridCol w:w="146"/>
        <w:gridCol w:w="146"/>
        <w:gridCol w:w="620"/>
        <w:gridCol w:w="1060"/>
        <w:gridCol w:w="196"/>
        <w:gridCol w:w="196"/>
        <w:gridCol w:w="284"/>
        <w:gridCol w:w="486"/>
        <w:gridCol w:w="146"/>
        <w:gridCol w:w="146"/>
        <w:gridCol w:w="220"/>
        <w:gridCol w:w="486"/>
        <w:gridCol w:w="3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Charges (Gains) </w:t>
            </w:r>
            <w:r>
              <w:rPr>
                <w:rFonts w:ascii="Times New Roman" w:hAnsi="Times New Roman"/>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 Products Sold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SG&amp;A </w:t>
            </w:r>
            <w:r>
              <w:rPr>
                <w:rFonts w:ascii="Times New Roman" w:hAnsi="Times New Roman"/>
                <w:b/>
                <w:color w:val="000000"/>
                <w:sz w:val="11"/>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Charges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1"/>
        </w:rPr>
        <w:t xml:space="preserve">(a) </w:t>
      </w:r>
      <w:r>
        <w:rPr>
          <w:rFonts w:ascii="Times New Roman" w:hAnsi="Times New Roman"/>
          <w:color w:val="000000"/>
          <w:sz w:val="20"/>
        </w:rPr>
        <w:t>“</w:t>
      </w:r>
      <w:r>
        <w:rPr>
          <w:rFonts w:ascii="Arial" w:hAnsi="Arial"/>
          <w:i/>
          <w:color w:val="000000"/>
          <w:sz w:val="16"/>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1"/>
        </w:rPr>
        <w:t>(b)</w:t>
      </w:r>
      <w:r>
        <w:rPr>
          <w:rFonts w:ascii="Times New Roman" w:hAnsi="Times New Roman"/>
          <w:color w:val="000000"/>
          <w:sz w:val="20"/>
        </w:rPr>
        <w:t xml:space="preserve"> </w:t>
      </w:r>
      <w:r>
        <w:rPr>
          <w:rFonts w:ascii="Arial" w:hAnsi="Arial"/>
          <w:i/>
          <w:color w:val="000000"/>
          <w:sz w:val="16"/>
        </w:rPr>
        <w:t>Selling, general and administrative expenses.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other charges for the thirteen weeks ended March 29, 2025 are primarily attributable to costs associated with the decision to consolidate our U.S. regional offices into one campus headquarters and related organizational and personnel changes, product-line rationalizations within our Outdoors segment, and plant closures in both our Water and Security segments.</w:t>
      </w:r>
    </w:p>
    <w:p>
      <w:pPr>
        <w:pStyle w:val="TextBody"/>
        <w:bidi w:val="0"/>
        <w:spacing w:before="360" w:after="240"/>
        <w:jc w:val="left"/>
        <w:rPr>
          <w:rFonts w:ascii="Times New Roman" w:hAnsi="Times New Roman"/>
          <w:sz w:val="20"/>
        </w:rPr>
      </w:pPr>
      <w:r>
        <w:rPr>
          <w:rFonts w:ascii="Times New Roman" w:hAnsi="Times New Roman"/>
          <w:b/>
          <w:color w:val="000000"/>
          <w:sz w:val="20"/>
        </w:rPr>
        <w:t>Reconciliation of Restructuring Liability</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2251"/>
        <w:gridCol w:w="146"/>
        <w:gridCol w:w="467"/>
        <w:gridCol w:w="1033"/>
        <w:gridCol w:w="146"/>
        <w:gridCol w:w="146"/>
        <w:gridCol w:w="280"/>
        <w:gridCol w:w="561"/>
        <w:gridCol w:w="166"/>
        <w:gridCol w:w="146"/>
        <w:gridCol w:w="265"/>
        <w:gridCol w:w="665"/>
        <w:gridCol w:w="166"/>
        <w:gridCol w:w="146"/>
        <w:gridCol w:w="315"/>
        <w:gridCol w:w="541"/>
        <w:gridCol w:w="146"/>
        <w:gridCol w:w="146"/>
        <w:gridCol w:w="393"/>
        <w:gridCol w:w="867"/>
        <w:gridCol w:w="2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w:t>
              <w:br/>
              <w:t>Payments</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Non-Cash</w:t>
              <w:br/>
              <w:t>Write-offs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March 28,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reduction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6"/>
        </w:rPr>
        <w:t>(a) Cash payments primarily relate to severance charges.</w:t>
      </w:r>
      <w:r>
        <w:rPr>
          <w:rFonts w:ascii="Times New Roman" w:hAnsi="Times New Roman"/>
          <w:color w:val="000000"/>
          <w:sz w:val="20"/>
        </w:rPr>
        <w:t xml:space="preserve"> </w:t>
      </w:r>
    </w:p>
    <w:p>
      <w:pPr>
        <w:pStyle w:val="TextBody"/>
        <w:bidi w:val="0"/>
        <w:jc w:val="left"/>
        <w:rPr/>
      </w:pPr>
      <w:r>
        <w:rPr/>
        <w:t> </w:t>
      </w:r>
    </w:p>
    <w:tbl>
      <w:tblPr>
        <w:tblW w:w="9418" w:type="dxa"/>
        <w:jc w:val="left"/>
        <w:tblInd w:w="0" w:type="dxa"/>
        <w:tblLayout w:type="fixed"/>
        <w:tblCellMar>
          <w:top w:w="28" w:type="dxa"/>
          <w:left w:w="28" w:type="dxa"/>
          <w:bottom w:w="28" w:type="dxa"/>
          <w:right w:w="28" w:type="dxa"/>
        </w:tblCellMar>
      </w:tblPr>
      <w:tblGrid>
        <w:gridCol w:w="2251"/>
        <w:gridCol w:w="146"/>
        <w:gridCol w:w="481"/>
        <w:gridCol w:w="1064"/>
        <w:gridCol w:w="146"/>
        <w:gridCol w:w="146"/>
        <w:gridCol w:w="262"/>
        <w:gridCol w:w="579"/>
        <w:gridCol w:w="146"/>
        <w:gridCol w:w="146"/>
        <w:gridCol w:w="324"/>
        <w:gridCol w:w="651"/>
        <w:gridCol w:w="166"/>
        <w:gridCol w:w="146"/>
        <w:gridCol w:w="285"/>
        <w:gridCol w:w="571"/>
        <w:gridCol w:w="166"/>
        <w:gridCol w:w="146"/>
        <w:gridCol w:w="407"/>
        <w:gridCol w:w="898"/>
        <w:gridCol w:w="2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 December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 Provision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w:t>
              <w:br/>
              <w:t xml:space="preserve">Payments </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Non-Cash</w:t>
              <w:br/>
              <w:t>Write-offs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 March 29,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reduction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6"/>
        </w:rPr>
        <w:t>(a) Cash payments primarily relate to severance charges.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computations of earnings per common share for the thirteen weeks ended March 28, 2026 and March 29, 2025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1"/>
        <w:gridCol w:w="146"/>
        <w:gridCol w:w="482"/>
        <w:gridCol w:w="1306"/>
        <w:gridCol w:w="146"/>
        <w:gridCol w:w="146"/>
        <w:gridCol w:w="482"/>
        <w:gridCol w:w="1306"/>
        <w:gridCol w:w="146"/>
        <w:gridCol w:w="394"/>
      </w:tblGrid>
      <w:tr>
        <w:trPr/>
        <w:tc>
          <w:tcPr>
            <w:tcW w:w="5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stock-based awards excluded from weighted-average number of shares outstanding for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our results of operations, cash flows or financial condition, and where appropriate, these actions are being vigorously contested. Accordingly, the Company believes the likelihood of material loss is remote.</w:t>
      </w:r>
    </w:p>
    <w:p>
      <w:pPr>
        <w:pStyle w:val="TextBody"/>
        <w:bidi w:val="0"/>
        <w:spacing w:before="120" w:after="283"/>
        <w:jc w:val="left"/>
        <w:rPr>
          <w:rFonts w:ascii="Times New Roman" w:hAnsi="Times New Roman"/>
          <w:sz w:val="20"/>
        </w:rPr>
      </w:pPr>
      <w:r>
        <w:rPr>
          <w:rFonts w:ascii="Times New Roman" w:hAnsi="Times New Roman"/>
          <w:b/>
          <w:color w:val="000000"/>
          <w:sz w:val="20"/>
        </w:rPr>
        <w:t>Environmental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environmental remediation exposures. Some of the potential liabilities relate to sites we own, and some relate to sites we no longer own or never owned. Several of our subsidiaries have been designated as potentially responsible parties (“PRP”) under Superfund or similar state laws. In most instances where our subsidiaries are named as a PRP, we enter into cost-sharing arrangements with other PRPs. We give notice to insurance carriers of potential PRP liability, but very rarely, if ever, receive reimbursement from insurance for PRP costs. We believe compliance with current environmental protection laws (before taking into account estimated recoveries from third parties) will not have a material adverse effect upon our results of operations, cash flows or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12, 2025, the Company experienced a fire within a portion of one of its manufacturing facilities within the Outdoors segment. The fire primarily caused damage to owned property and equipment. In 2025, expenses of $21.1 million, related to clean-up costs, damage to assets and fixed operating costs, less probable insurance recoveries, were recorded within Cost of products sold in the Consolidated Statement of Comprehensive Income. For the thirteen weeks ended March 28, 2026, expenses of $3.5 million, related to clean-up costs, less probable insurance recoveries, were recorded within Cost of products sold in the Consolidated Statement of Comprehensive Income.</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Item 2.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MANAGEMENT’S DISCUSSION AND ANALYSIS OF</w:t>
      </w:r>
    </w:p>
    <w:p>
      <w:pPr>
        <w:pStyle w:val="TextBody"/>
        <w:bidi w:val="0"/>
        <w:jc w:val="center"/>
        <w:rPr>
          <w:rFonts w:ascii="Times New Roman" w:hAnsi="Times New Roman"/>
          <w:b/>
          <w:color w:val="000000"/>
          <w:sz w:val="20"/>
        </w:rPr>
      </w:pP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unaudited condensed consolidated financial statements and the notes thereto, which are included in this report, as well as our audited consolidated financial statements for the year ended December 27, 2025, which are included in our Annual Report on Form 10-K for the year ended December 27,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contains forward-looking statements that are made pursuant to the safe harbor provisions of Section 27A of the Securities Act of 1933, as amended (the “Securities Act”), and Section 21E of the Securities Exchange Act of 1934, as amended (the “Exchange Act”). Forward-looking statements include all statements that are not historical statements of fact and those regarding our intent, belief or expectations for our business, operations, financial performance or financial condition, in addition to statements regarding our expectations for the markets in which we operate, general business strategies, expected impacts from recently-announced organizational and leadership changes, the market potential of our brands, trends in the housing market, the potential impact of costs, including material and labor costs, the potential impact of inflation, expected capital spending, expected pension contributions, the expected effects of acquisitions, dispositions and other strategic transactions including the expected benefits and costs of the spin-off of MasterBrand, Inc. and the tax-free nature of the spin-off transaction, the anticipated effects of recently issued accounting standards on our financial statements, and other matters that are not historical in nature. Statements that include the words “believes,” “expects,” “anticipates,” “intends,” “projects,” “estimates,” “plans,” “outlook,” “positioned”, “confident,” “opportunity”, “focus”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plans, estimates, assumptions and projections of our management about our industry, business and future financial results available at the time this report is filed with the SEC.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(i) our reliance on the North American and Chinese home improvement, repair and remodel and new home construction activity levels, (ii) the housing market, downward changes in the general economy, unfavorable interest rates or other business conditions, (iii) the competitive nature of consumer and trade brand businesses, (iv) our ability to execute on our strategic plans and the effectiveness of our strategies in the face of business competition, (v) our reliance on key customers and suppliers, including wholesale distributors and dealers and retailers, (vi) risks associated with our recent leadership changes and our search process to identify our next CEO and CFO, (vii) risks relating to rapidly evolving technological change, (viii) risks associated with our ability to improve organizational productivity and global supply chain efficiency and flexibility, (ix) risks associated with global commodity and energy availability and price volatility, as well as the possibility of sustained inflation, (x) delays or outages in our information technology systems or computer networks or breaches of our information technology systems or other cybersecurity incidents, (xi) risks associated with doing business globally, including changes in trade-related tariffs (including recent U.S. tariffs announced or imposed on China, Canada, Mexico and other countries and any reciprocal actions taken by such countries) and risks with uncertain trade environments, (xii) risks associated with the disruption of operations, including as a result of severe weather events, (xiii) our inability to obtain raw materials and finished goods in a timely and cost-effective manner, (xiv) risks associated with strategic acquisitions, divestitures and joint ventures, including difficulties integrating acquired companies and the inability to achieve the expected financial results and benefits of transactions, (xv) impairments in the carrying value of goodwill or other acquired intangible assets, (xvi) risks of increases in our defined benefit-related costs and funding requirements, (xvii) our ability to attract and retain qualified personnel and other labor constraints, (xviii) the effect of climate change and the impact of related changes in government regulations and consumer preferences, (xix) risks associated with environmental, social and governance matters, (xx) potential liabilities and costs from claims and litigation, (xxi) changes in government and industry regulatory standards, (xxii) future tax law changes or the interpretation of existing tax laws, and (xxiii) our ability to secure and protect our intellectual property rights, as well as those described in the section of our Annual Report on Form 10-K for the year ended December 27, 2025 entitled Item 1A. “Risk Factors”. We undertake no obligation to, and expressly disclaim any such obligation to, update, amend, clarify or revise any forward-looking statements to reflect changed assumptions, the occurrence of anticipated or unanticipated events, new information or changes to future results over time or otherwise, except as required by law.</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to “Fortune Brands,” “the Company,” “we,” “our” and “us” refer to Fortune Brands Innovations, Inc. and its consolidated subsidiaries as a whole, unless the context otherwise requires. The Company is a leading home, security and digital products company whose purpose is to elevate every life by transforming spaces into havens. We sell our products through a wide array of sales channels, including kitchen and bath dealers, wholesalers oriented toward builders or professional remodelers, industrial and locksmith distributors, “do-it-yourself” remodeling-oriented home centers, showrooms, direct to consumer, e-commerce and other retail outlets.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Company has certain competitive advantages including market-leading brands, a diversified mix of channels, lean and flexible supply chains, a strong capital structure, as well as a tradition of strong innovation and customer service. We are focused on outperforming our markets in growth, profitability and returns in order to drive increased stockholder value. We believe the Company’s track record reflects the long-term attractiveness and potential of the categories we serve and our leading brands. We believe the long-term outlook for our products remains favorable, and our strategic advantages, including the set of capabilities we refer to as the Fortune Brands Advantage, will help us to achieve profitable organic growth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believe our most attractive opportunities are to invest in profitable organic growth initiatives, pursue accretive strategic acquisitions, non-controlling equity investments, and joint ventures, and return cash to stockholders through a combination of dividends and repurchases of shares of our common stock under our share repurchase program as explained in further detail under “Liquidity and Capital Resources”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market for our products primarily consists of spending on both new home construction and repair and remodel activities within existing homes, with a substantial majority of the markets we serve consisting of repair and remodel spending. Growth in the U.S. market for our home products will largely depend on consumer confidence, employment, wage growth, home prices, equity levels and rates of extraction, stable mortgage rates and credit availability. Increases in inflation and mortgage rates during the preceding years have slowed the pace of single-family and existing home sales activity and new home construction and repair and remodel activities. However, we believe we are well positioned to manage the continued slow-down in the housing market as we believe the fundamental drivers of the housing market remain intact.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been and may continue to be impacted by near-term supply, labor and freight constraints, a volatile geopolitical environment, as well as increased rates of inflation, increased interest rates and unfavorable fluctuations in foreign exchange rates. In addition, we have been adversely impacted and may in the future be impacted by tariff-related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20, 2026, the U.S. Supreme court invalidated the U.S. tariffs imposed under the International Emergency Economic Powers Act ("IEEPA") on goods imported into the U.S. The ultimate availability, timing, and amount of any potential refunds remain highly uncertain and are subject to further legal, regulatory, and administrative developments. In addition, the U.S. Administration imposed new tariffs and may impose additional tariffs. We will continue to monitor changes to import and export policies of the U.S. and other countries that could impact our financial position, results of operations and cash flows. As of March 28, 2026, the Company has not recognized any amounts associated with potential refunds related to these tariffs.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continues to actively work to mitigate the anticipated impacts of tariffs through a combination of supply chain actions, cost-out activities and strategic pricing actions across all of our channels and brands. However, this remains a rapidly evolving landscape, and the Company's ability to mitigate the anticipated impacts of tariffs could be affected by a number of factors, including additional tariffs or trade-related sanctions imposed by the U.S. or other countries, and if the Company is ultimately not able to substantially mitigate the impacts of tariffs, there would be negative impacts to the Company's results of operations. We are also unable, at this time, to determine any future negative impacts from reduced consumer spending as a result of inflationary or other macroeconomic pressures or uncertainty that may result from the imposition of current or future tariffs.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Thirteen Weeks Ended March 28, 2026 Compared to Thirteen Weeks Ended March 29,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Fortune Brands delivered net income of $24.2 million, or $0.20 per diluted common share for the thirteen weeks ended March 28, 2026 compared to net income of $51.4 million, or $0.42 per diluted common share in the prior year. Net income for the thirteen weeks ended March 28, 2026 was negatively impacted by lower sales unit volume and $42.4 million due to costs associated with governance advisory services and leadership changes. We delivered cash used in operating activities of $(119.2) million of the thirteen weeks ended March 28, 2026, compared to $(83.4) million in the same prior year period.</w:t>
      </w:r>
    </w:p>
    <w:p>
      <w:pPr>
        <w:pStyle w:val="TextBody"/>
        <w:bidi w:val="0"/>
        <w:jc w:val="left"/>
        <w:rPr/>
      </w:pPr>
      <w:r>
        <w:rPr/>
        <w:t> </w:t>
      </w:r>
    </w:p>
    <w:tbl>
      <w:tblPr>
        <w:tblW w:w="6163" w:type="dxa"/>
        <w:jc w:val="left"/>
        <w:tblInd w:w="0" w:type="dxa"/>
        <w:tblLayout w:type="fixed"/>
        <w:tblCellMar>
          <w:top w:w="28" w:type="dxa"/>
          <w:left w:w="28" w:type="dxa"/>
          <w:bottom w:w="28" w:type="dxa"/>
          <w:right w:w="28" w:type="dxa"/>
        </w:tblCellMar>
      </w:tblPr>
      <w:tblGrid>
        <w:gridCol w:w="2176"/>
        <w:gridCol w:w="146"/>
        <w:gridCol w:w="211"/>
        <w:gridCol w:w="721"/>
        <w:gridCol w:w="166"/>
        <w:gridCol w:w="146"/>
        <w:gridCol w:w="211"/>
        <w:gridCol w:w="721"/>
        <w:gridCol w:w="166"/>
        <w:gridCol w:w="146"/>
        <w:gridCol w:w="189"/>
        <w:gridCol w:w="682"/>
        <w:gridCol w:w="166"/>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gridSpan w:val="1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vs. Prior</w:t>
              <w:br/>
              <w:t>Year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Income (Loss)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vs. Prior</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discussion of consolidated results of operations and segment results refers to the thirteen weeks ended March 28, 2026 compared to the thirteen weeks ended March 29, 2025. Consolidated results of operations should be read in conjunction with segment results of operations.</w:t>
      </w:r>
    </w:p>
    <w:p>
      <w:pPr>
        <w:pStyle w:val="TextBody"/>
        <w:bidi w:val="0"/>
        <w:spacing w:before="360" w:after="283"/>
        <w:jc w:val="left"/>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$21.8 million, or 2.1%, primarily due to lower sales volume across all operating segments, primarily driven by demand softness. Volume declines were offset by year over price increases, including tariff and commodity mitigating actions. Net sales within our China business decreased by $9.1 million, or 25%, due to volume declines. These declines were partially offset by the favorable impact of foreign exchange of $10.1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products sold decreased by $2.8 million, or 0.5%, primarily due to lower sales volume, partially offset by material cost inflation and tariffs. Cost of products sold was also impacted by lower restructuring-related charges of $8.4 million.</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by $37.8 million, or 12.0%, primarily due to costs associated with governance advisory services and leadership changes of $42.4 million.</w:t>
      </w:r>
    </w:p>
    <w:p>
      <w:pPr>
        <w:pStyle w:val="TextBody"/>
        <w:bidi w:val="0"/>
        <w:spacing w:before="240" w:after="283"/>
        <w:jc w:val="left"/>
        <w:rPr>
          <w:rFonts w:ascii="Times New Roman" w:hAnsi="Times New Roman"/>
          <w:sz w:val="20"/>
        </w:rPr>
      </w:pPr>
      <w:r>
        <w:rPr>
          <w:rFonts w:ascii="Times New Roman" w:hAnsi="Times New Roman"/>
          <w:i/>
          <w:color w:val="000000"/>
          <w:sz w:val="20"/>
        </w:rPr>
        <w:t>Restructuring charges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charges of $4.3 million are primarily due to costs incurred in connection with the Company's headquarters consolidation and its related organizational changes.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 (Continued)</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income</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Operating income decreased by $36.8 million, or 37.9%, primarily due to lower sales volume, costs associated with governance advisory services and leadership changes of $42.4 million, higher commodity and tariff costs, higher freight costs, partially offset by lower restructuring and restructuring-related charges of $32.8 million.</w:t>
      </w:r>
    </w:p>
    <w:p>
      <w:pPr>
        <w:pStyle w:val="TextBody"/>
        <w:bidi w:val="0"/>
        <w:spacing w:before="8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$2.1 million, or 7.3% to $26.5 million primarily due to lower commercial paper borrowings net of repayments during the thirteen weeks ended March 28, 2026 of $168.3 million, as compared to the thirteen weeks ended March 29, 2025 of $280.0 million.</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$(0.1) million in the thirteen weeks ended March 28, 2026, compared to other income, net of $(1.0) million in the thirteen weeks ended March 29, 2025. The decrease in other income, net is primarily due to a decrease in interest income, and increases in foreign currency transaction expense.</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 income tax rates for the thirteen weeks ended March 28, 2026 and thirteen weeks ended March 29, 2025 were 28.4% and 25.9%,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difference between the Company’s effective income tax rate for the thirteen weeks ended March 28, 2026 and the U.S. statutory rate of 21% primarily relates to state income taxes and equity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difference between the Company’s effective income tax rate for the thirteen weeks ended March 29, 2025 and the U.S. statutory rate of 21% primarily relates to state income taxes and foreign income taxed at higher rates.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was $24.2 million in the thirteen weeks ended March 28, 2026, compared to $51.4 million in the thirteen weeks ended March 29, 2025. The decrease in net income was due to lower operating income of $36.8 million and lower other income of $0.9 million, partly offset by lower income tax expense and interest expense of $8.4 million and $2.1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Results By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$1.7 million, or 0.3%, primarily due to lower sales unit volume due to market softness. Volume declines were offset by year over price increases, including tariff-mitigating actions. Net sales within our China business decreased by $9.1 million, or 25%, due to volume decline. These declines were partially offset by the favorable impact of foreign exchange of $7.5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income increased by $0.5 million, or 0.5%, primarily due to lower restructuring and restructuring-related charges of $7.6 million, partially offset by the impact of lower sales volume, higher tariff costs net of price mitigating actions and higher freight costs of $6.3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Outdoors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$10.3 million, or 3.4%, primarily due to lower sales unit volume due to market softness, channel inventory decreases, partially offset by strategic price actions primarily to mitigate commodity and tariff-related cost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income decreased by $5.2 million, or 23.0%, primarily due to higher commodity and tariff costs, lower sales unit volume and $3.5 million net costs incurred related to the fire that occurred at a manufacturing facility, partially offset by lower restructuring and restructuring-related charges of $8.2 million and by the impact of price mitigating actions.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$9.8 million, or 6.0%, primarily due to lower sales unit volume, partially offset by pricing actions to mitigate commodity and tariff-related cost inflation and the favorable impact of foreign exchange of $2.6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income increased by $5.7 million, or 35.6%, primarily due to lower restructuring and restructuring-related charges of $7.2 million, partially offset by lower sales unit volume and higher tariff costs net of price mitigating actions.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Corporate expenses increased by $37.8 million, or 84.4% primarily due to costs associated with governance advisory services and leadership changes of $42.4 million, partially offset by lower restructuring and restructuring-related charges of $9.8 million.</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principal sources of liquidity are cash on hand, cash flows from operating activities, cash borrowed under our credit facility and cash from debt issuances in the capital markets. Our operating income is generated by our subsidiaries. We believe our operating cash flows, including funds available under the credit facility and access to capital markets, provide sufficient liquidity to support the Company’s working capital requirements, capital expenditures and service of indebtedness, as well as to finance acquisitions, repurchase shares of our common stock and pay dividends to stockholders, as the Board of Directors deems appropriate both for the 12-month period following March 28, 2026 and in the long-term.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flows from operations, borrowing availability and overall liquidity are subject to certain risks and uncertainties, including those described in the section of our Annual Report on Form 10-K for the year ended December 27, 2025 entitled “Item 1A. Risk Factors”. In addition, we cannot predict whether or when we may enter into acquisitions, joint ventures or dispositions, repurchase shares of our common stock under our share repurchase program or pay dividends, or what impact any such transactions could have on our results of operations, cash flows or financial condition, whether as a result of the issuance of debt or equity securities, or otherwise.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28, 2026, the Company had aggregate outstanding notes in the principal amount of $2.2 billion, with varying maturities (the “Notes”). The Notes are unsecured senior obligations of the Company. In addition, we believe that we have the ability to obtain alternative sources of financing if required. The following table provides a summary of the Company’s outstanding Notes, including the net carrying value of the Notes, net of underwriting commissions, price discounts and debt issuance costs as of March 28, 2026 and December 27,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1"/>
        <w:gridCol w:w="361"/>
        <w:gridCol w:w="980"/>
        <w:gridCol w:w="146"/>
        <w:gridCol w:w="146"/>
        <w:gridCol w:w="1385"/>
        <w:gridCol w:w="146"/>
        <w:gridCol w:w="1385"/>
        <w:gridCol w:w="146"/>
        <w:gridCol w:w="278"/>
        <w:gridCol w:w="953"/>
        <w:gridCol w:w="146"/>
        <w:gridCol w:w="146"/>
        <w:gridCol w:w="327"/>
        <w:gridCol w:w="1123"/>
        <w:gridCol w:w="196"/>
      </w:tblGrid>
      <w:tr>
        <w:trPr/>
        <w:tc>
          <w:tcPr>
            <w:tcW w:w="23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 millions)</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3.250% Senior Notes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 Senior Notes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4.500% Senior Notes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5.875% Senior Notes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Senior Notes long-term</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the Company entered into a fourth amended and restated $1.25 billion revolving credit facility (the “Revolving Credit Agreement”), and borrowings thereunder will be used for general corporate purposes. The maturity date of the facility is January 2031. Borrowings under the Revolving Credit Agreement will bear interest at variable rates equal to, at the Company’s election, the term Secured Overnight Financing Rate ("SOFR") plus an applicable term SOFR margin for an interest period selected by the Company. The applicable term SOFR rate margin will be determined based on the ratings of the Company’s senior unsecured long-term debt securities. The daily simple SOFR rate margins range from 0.80% to 1.30%. Under the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one-time adjustments. In addition, the Company's ratio of consolidated debt minus certain cash and cash equivalents to consolidated EBITDA generally may not exceed 3.5 to 1.0. On March 28, 2026 and December 27, 2025, there were no outstanding borrowings under this facility. As of March 28, 2026, we were in compliance with all covenants under this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uncommitted bank lines of credit in China, which provide for unsecured borrowings for working capital of up to $30.5 million in aggregate as of March 28, 2026 and December 27, 2025, respectively. There were no outstanding balances as of March 28, 2026 and December 27, 2025.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Commercial Paper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 commercial paper program (the “Commercial Paper Program”) pursuant to which the Company may issue unsecured commercial paper notes. The Company's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Revolving Credit Agreement, not to exceed $1.25 billion. The Company expects to use any issuances under the Commercial Paper Program for general corporate purposes. Outstanding borrowings under the Commercial Paper Program as of March 28, 2026 and December 27, 2025 were $537.0 million and $368.8 million,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and 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28, 2026, we had non-restricted cash and cash equivalents of $223.1 million, of which $206.4 million was held at non-U.S. subsidiaries. We manage our global cash requirements considering (i) available funds among the subsidiaries through which we conduct business, (ii) the geographic location of our liquidity needs, and (iii) the cost to access international cash balances. The repatriation of non-U.S. cash balances from certain subsidiaries could have adverse tax consequences as we may be required to pay and record tax expense on those funds that are repatriated.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cash flows are significantly impacted by the seasonality of our business. We typically generate most of our operating cash flow in the third and fourth fiscal quarters of each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position, cash flow generated from operations, amounts available under our revolving credit facility and access to the capital markets should be sufficient for our operating requirements and enable us to fund our capital expenditures, share repurchases, dividend payments, and required long-term debt payments.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Share Repurchases and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thirteen weeks ended March 28, 2026, we repurchased 0.9 million shares of our outstanding common stock under the Company’s share repurchase program for $43.5 million. As of March 28, 2026, the Company’s total remaining share repurchase authorization under its share repurchase program was approximately $783.8 million. The share repurchase program does not obligate the Company to repurchase any specific dollar amount or number of shares and may be suspended or discontinued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thirteen weeks ended March 28, 2026, we paid dividends in the amount of $31.2 million to the Company’s stockholders. Our Board of Directors will continue to evaluate dividend payment opportunities on a quarterly basis. There can be no assurance as to when and if future dividends will be paid, and at what level, because the payment of dividends is dependent on our financial condition, results of operations, cash flows, capital requirements and other factors deemed relevant by our Board of Directors. Our subsidiaries are not limited by long-term debt or other agreements in their abilities to pay cash dividends or to make other distributions with respect to their capital stock or other payments to the Company.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periodically review our portfolio of brands and evaluate potential strategic transactions and other capital initiatives to increase stockholder value.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is a summary of cash flows for the thirteen weeks ended March 28, 2026 and the thirteen weeks ended March 29, 2025. </w:t>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3976"/>
        <w:gridCol w:w="146"/>
        <w:gridCol w:w="440"/>
        <w:gridCol w:w="1315"/>
        <w:gridCol w:w="166"/>
        <w:gridCol w:w="146"/>
        <w:gridCol w:w="837"/>
        <w:gridCol w:w="2088"/>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Period</w:t>
              <w:br/>
              <w:t>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March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Net cash used in operating activities was $119.2 million in the thirteen weeks ended March 28, 2026, compared to net cash used in operating activities of $83.4 million in the thirteen weeks ended March 29, 2025. The increase in cash used of $35.8 million was primarily due to lower net income and changes in working capital items (primarily accounts receivable, inventories and accounts payable), as well as changes in accrued expenses and accrued taxes.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Net cash used in investing activities was $10.5 million in the thirteen weeks ended March 28, 2026, compared to net cash used in investing activities of $29.2 million in the thirteen weeks ended March 29, 2025. The decrease in cash used of $18.7 million is primarily due to a decrease in capital expenditures, partially offset by proceeds from the disposition of assets.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cash provided by financing activities was $90.4 million in the thirteen weeks ended March 28, 2026, compared to net cash provided by financing activities of $68.0 million in the thirteen weeks ended March 29, 2025. The increase in cash provided of $22.4 million was primarily due to lower treasury stock purchases offset by lower net borrowings under our commercial paper program.</w:t>
      </w:r>
    </w:p>
    <w:p>
      <w:pPr>
        <w:pStyle w:val="TextBody"/>
        <w:bidi w:val="0"/>
        <w:spacing w:before="240" w:after="283"/>
        <w:jc w:val="left"/>
        <w:rPr>
          <w:rFonts w:ascii="Times New Roman" w:hAnsi="Times New Roman"/>
          <w:sz w:val="20"/>
        </w:rPr>
      </w:pPr>
      <w:r>
        <w:rPr>
          <w:rFonts w:ascii="Times New Roman" w:hAnsi="Times New Roman"/>
          <w:b/>
          <w:color w:val="000000"/>
          <w:sz w:val="20"/>
        </w:rPr>
        <w:t>Pension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Subsidiaries of Fortune Brands sponsor their respective defined benefit pension plans that are funded by a portfolio of investments maintained within our benefit plan trust. As of December 27, 2025, the fair value of our total pension plan assets was $188.3 million, representing funding of approximately 95% of the accumulated qualified benefit obligation liability. During the thirteen weeks ended March 28, 2026, we made no pension contributions. For the foreseeable future, we believe that we have sufficient liquidity to meet the minimum funding that may be required by the Pension Protection Act of 2006. </w:t>
      </w:r>
    </w:p>
    <w:p>
      <w:pPr>
        <w:pStyle w:val="TextBody"/>
        <w:bidi w:val="0"/>
        <w:spacing w:before="360" w:after="283"/>
        <w:jc w:val="left"/>
        <w:rPr>
          <w:rFonts w:ascii="Times New Roman" w:hAnsi="Times New Roman"/>
          <w:sz w:val="20"/>
        </w:rPr>
      </w:pPr>
      <w:r>
        <w:rPr>
          <w:rFonts w:ascii="Times New Roman" w:hAnsi="Times New Roman"/>
          <w:b/>
          <w:color w:val="000000"/>
          <w:sz w:val="20"/>
        </w:rPr>
        <w:t>Foreign Exchange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operations in various foreign countries, principally Canada, Mexico, the United Kingdom, China, South Africa, Vietnam and France. Therefore, changes in the value of the related currencies affect our financial statements when translated into U.S. dollars.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information provided in the section entitled “Critical Accounting Estimates” in our Annual Report on Form 10-K for the year ended December 27, 2025.</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bookmarkStart w:id="9" w:name="item_3_quantitative_qualitative_disclosu"/>
      <w:bookmarkEnd w:id="9"/>
      <w:r>
        <w:rPr>
          <w:rFonts w:ascii="Times New Roman" w:hAnsi="Times New Roman"/>
          <w:b/>
          <w:color w:val="000000"/>
          <w:sz w:val="20"/>
          <w:u w:val="single"/>
        </w:rPr>
        <w:t>Item 3.</w:t>
      </w:r>
      <w:r>
        <w:rPr>
          <w:rFonts w:ascii="Times New Roman" w:hAnsi="Times New Roman"/>
          <w:color w:val="000000"/>
          <w:sz w:val="20"/>
        </w:rPr>
        <w:t xml:space="preserve"> </w:t>
      </w:r>
      <w:r>
        <w:rPr>
          <w:rFonts w:ascii="Times New Roman" w:hAnsi="Times New Roman"/>
          <w:b/>
          <w:color w:val="000000"/>
          <w:sz w:val="20"/>
          <w:u w:val="single"/>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information provided in the section entitled “Quantitative and Qualitative Disclosures about Market Risk” in our Annual Report on Form 10-K for the year ended December 27, 2025.</w:t>
      </w:r>
    </w:p>
    <w:p>
      <w:pPr>
        <w:pStyle w:val="TextBody"/>
        <w:bidi w:val="0"/>
        <w:spacing w:before="360" w:after="283"/>
        <w:jc w:val="left"/>
        <w:rPr>
          <w:rFonts w:ascii="Times New Roman" w:hAnsi="Times New Roman"/>
          <w:sz w:val="20"/>
        </w:rPr>
      </w:pPr>
      <w:bookmarkStart w:id="10" w:name="item_4_controls_procedures"/>
      <w:bookmarkEnd w:id="10"/>
      <w:r>
        <w:rPr>
          <w:rFonts w:ascii="Times New Roman" w:hAnsi="Times New Roman"/>
          <w:b/>
          <w:color w:val="000000"/>
          <w:sz w:val="20"/>
          <w:u w:val="single"/>
        </w:rPr>
        <w:t>Item 4.</w:t>
      </w:r>
      <w:r>
        <w:rPr>
          <w:rFonts w:ascii="Times New Roman" w:hAnsi="Times New Roman"/>
          <w:color w:val="000000"/>
          <w:sz w:val="20"/>
        </w:rPr>
        <w:t xml:space="preserve"> </w:t>
      </w:r>
      <w:r>
        <w:rPr>
          <w:rFonts w:ascii="Times New Roman" w:hAnsi="Times New Roman"/>
          <w:b/>
          <w:color w:val="000000"/>
          <w:sz w:val="20"/>
          <w:u w:val="single"/>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with the participation of the Company’s principal executive officer and principal financial officer, the effectiveness of the Company's disclosure controls and procedures (as defined in Rules 13a-15(e) and 15d-15(e) under the Exchange Act) as of the end of the period covered by this report. Based on that evaluation, the Company's principal executive officer and principal financial officer have concluded that the Company’s disclosure controls and procedures were effective as of the end of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the Company’s internal control over financial reporting that occurred during the fiscal quarter ended March 28, 2026 that have materially affected, or are reasonably likely to materially affect, the Company’s internal control over financial reporting.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_or_information"/>
      <w:bookmarkEnd w:id="11"/>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2" w:name="item_1_legal_proceedings"/>
      <w:bookmarkEnd w:id="12"/>
      <w:r>
        <w:rPr>
          <w:rFonts w:ascii="Times New Roman" w:hAnsi="Times New Roman"/>
          <w:b/>
          <w:color w:val="000000"/>
          <w:sz w:val="20"/>
          <w:u w:val="single"/>
        </w:rPr>
        <w:t>Item 1.</w:t>
      </w:r>
      <w:r>
        <w:rPr>
          <w:rFonts w:ascii="Times New Roman" w:hAnsi="Times New Roman"/>
          <w:color w:val="000000"/>
          <w:sz w:val="20"/>
        </w:rPr>
        <w:t xml:space="preserve"> </w:t>
      </w:r>
      <w:r>
        <w:rPr>
          <w:rFonts w:ascii="Times New Roman" w:hAnsi="Times New Roman"/>
          <w:b/>
          <w:color w:val="000000"/>
          <w:sz w:val="20"/>
          <w:u w:val="single"/>
        </w:rPr>
        <w:t>LEGAL</w:t>
      </w:r>
      <w:r>
        <w:rPr>
          <w:rFonts w:ascii="Times New Roman" w:hAnsi="Times New Roman"/>
          <w:color w:val="000000"/>
          <w:sz w:val="20"/>
          <w:u w:val="single"/>
        </w:rPr>
        <w:t xml:space="preserve"> </w:t>
      </w:r>
      <w:r>
        <w:rPr>
          <w:rFonts w:ascii="Times New Roman" w:hAnsi="Times New Roman"/>
          <w:b/>
          <w:color w:val="000000"/>
          <w:sz w:val="20"/>
          <w:u w:val="single"/>
        </w:rPr>
        <w:t>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 party to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our results of operations, cash flows or financial condition, and where appropriate, these actions are being vigorously contested. Accordingly, the Company believes the likelihood of material loss is remote.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environmental remediation exposures. Some of the potential liabilities relate to sites we own, and some relate to sites we no longer own or never owned. Several of our subsidiaries have been designated as potentially responsible parties (“PRP”) under Superfund or similar state laws. In most instances where our subsidiaries are named as a PRP, we enter into cost-sharing arrangements with other PRPs. We give notice to insurance carriers of potential PRP liability, but very rarely, if ever, receive reimbursement from insurance for PRP costs. We believe compliance with current environmental protection laws (before taking into account estimated recoveries from third parties) will not have a material adverse effect upon our results of operations, cash flows or financial condition. </w:t>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1a_risk_factors"/>
      <w:bookmarkEnd w:id="13"/>
      <w:r>
        <w:rPr>
          <w:rFonts w:ascii="Times New Roman" w:hAnsi="Times New Roman"/>
          <w:b/>
          <w:color w:val="000000"/>
          <w:sz w:val="20"/>
          <w:u w:val="single"/>
        </w:rPr>
        <w:t>Item 1A.</w:t>
      </w:r>
      <w:r>
        <w:rPr>
          <w:rFonts w:ascii="Times New Roman" w:hAnsi="Times New Roman"/>
          <w:color w:val="000000"/>
          <w:sz w:val="20"/>
        </w:rPr>
        <w:t xml:space="preserve"> </w:t>
      </w:r>
      <w:r>
        <w:rPr>
          <w:rFonts w:ascii="Times New Roman" w:hAnsi="Times New Roman"/>
          <w:b/>
          <w:color w:val="000000"/>
          <w:sz w:val="20"/>
          <w:u w:val="single"/>
        </w:rPr>
        <w:t>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changes to the risk factors previously disclosed in our Annual Report on Form 10-K for the fiscal year ended December 27, 2025. </w:t>
      </w:r>
    </w:p>
    <w:p>
      <w:pPr>
        <w:pStyle w:val="TextBody"/>
        <w:bidi w:val="0"/>
        <w:spacing w:before="36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w:t>
      </w:r>
      <w:r>
        <w:rPr>
          <w:rFonts w:ascii="Times New Roman" w:hAnsi="Times New Roman"/>
          <w:color w:val="000000"/>
          <w:sz w:val="20"/>
        </w:rPr>
        <w:t xml:space="preserve"> </w:t>
      </w:r>
      <w:r>
        <w:rPr>
          <w:rFonts w:ascii="Times New Roman" w:hAnsi="Times New Roman"/>
          <w:b/>
          <w:color w:val="000000"/>
          <w:sz w:val="20"/>
          <w:u w:val="single"/>
        </w:rPr>
        <w:t>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are the repurchases of common stock by the Company or any “affiliated purchaser” (as defined in Rule 10b-18(a)(3) under the Exchange Act) for the thirteen weeks ended March 28, 2026: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Issuer Purchases of Equity Securities</w:t>
      </w:r>
    </w:p>
    <w:tbl>
      <w:tblPr>
        <w:tblW w:w="9079" w:type="dxa"/>
        <w:jc w:val="left"/>
        <w:tblInd w:w="0" w:type="dxa"/>
        <w:tblLayout w:type="fixed"/>
        <w:tblCellMar>
          <w:top w:w="28" w:type="dxa"/>
          <w:left w:w="28" w:type="dxa"/>
          <w:bottom w:w="28" w:type="dxa"/>
          <w:right w:w="28" w:type="dxa"/>
        </w:tblCellMar>
      </w:tblPr>
      <w:tblGrid>
        <w:gridCol w:w="2941"/>
        <w:gridCol w:w="146"/>
        <w:gridCol w:w="158"/>
        <w:gridCol w:w="847"/>
        <w:gridCol w:w="146"/>
        <w:gridCol w:w="146"/>
        <w:gridCol w:w="256"/>
        <w:gridCol w:w="569"/>
        <w:gridCol w:w="146"/>
        <w:gridCol w:w="146"/>
        <w:gridCol w:w="224"/>
        <w:gridCol w:w="1201"/>
        <w:gridCol w:w="146"/>
        <w:gridCol w:w="146"/>
        <w:gridCol w:w="229"/>
        <w:gridCol w:w="124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Thirteen Weeks Ended March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br/>
              <w:t>number</w:t>
              <w:br/>
              <w:t>of shares</w:t>
              <w:br/>
              <w:t xml:space="preserve">purchased </w:t>
            </w:r>
            <w:r>
              <w:rPr>
                <w:rFonts w:ascii="Times New Roman" w:hAnsi="Times New Roman"/>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shares purchased</w:t>
              <w:br/>
              <w:t>as part of publicly</w:t>
              <w:br/>
              <w:t xml:space="preserve">announced plans </w:t>
              <w:br/>
              <w:t xml:space="preserve">or programs </w:t>
            </w:r>
            <w:r>
              <w:rPr>
                <w:rFonts w:ascii="Times New Roman" w:hAnsi="Times New Roman"/>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Maximum dollar </w:t>
              <w:br/>
              <w:t xml:space="preserve">amount that may </w:t>
              <w:br/>
              <w:t>yet be purchased</w:t>
              <w:br/>
              <w:t xml:space="preserve">under the plans or </w:t>
              <w:br/>
              <w:t xml:space="preserve">programs </w:t>
            </w:r>
            <w:r>
              <w:rPr>
                <w:rFonts w:ascii="Times New Roman" w:hAnsi="Times New Roman"/>
                <w:b/>
                <w:color w:val="000000"/>
                <w:sz w:val="11"/>
              </w:rPr>
              <w: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28 – January 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827,245,493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25 – February 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825,745,508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22 – March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783,772,024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783,772,024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Information on the Company’s share repurchase program follows:</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1501"/>
        <w:gridCol w:w="146"/>
        <w:gridCol w:w="1486"/>
        <w:gridCol w:w="146"/>
        <w:gridCol w:w="1426"/>
        <w:gridCol w:w="146"/>
        <w:gridCol w:w="153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Authorization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Announcement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Authorization amount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Expiration date</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4, 2027</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Item 5.</w:t>
      </w:r>
      <w:r>
        <w:rPr>
          <w:rFonts w:ascii="Times New Roman" w:hAnsi="Times New Roman"/>
          <w:color w:val="000000"/>
          <w:sz w:val="20"/>
        </w:rPr>
        <w:t xml:space="preserve"> </w:t>
      </w:r>
      <w:r>
        <w:rPr>
          <w:rFonts w:ascii="Times New Roman" w:hAnsi="Times New Roman"/>
          <w:b/>
          <w:color w:val="000000"/>
          <w:sz w:val="20"/>
          <w:u w:val="single"/>
        </w:rPr>
        <w:t>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Securities Trading Plans of Directors and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the compensation of our officers is delivered in the form of equity awards, including performance share awards, restricted stock units and stock options. The Company’s compensation programs and practices are designed to pay for performance and to align management’s interests with those of the Company’s stockholders while attracting, motivating and retaining superior talent to lead our Company. In addition, members of the Board of Directors receive a portion of their compensation in Company common stock. Our executive officers and directors may engage from time to time in the open-market sale or other transactions involving those securities, and may also purchase our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Transactions in our securities by our directors and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directors and officers are permitted to enter into trading plans designed to comply with Rule 10b5-1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none of our directors or officers adopted or terminated a Rule 10b5-1 trading plan or adopted or terminated a non-Rule 10b5-1 trading arrangement (as defined in Item 408(c) of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item_6_exhibits"/>
      <w:bookmarkEnd w:id="15"/>
      <w:r>
        <w:rPr>
          <w:rFonts w:ascii="Times New Roman" w:hAnsi="Times New Roman"/>
          <w:b/>
          <w:color w:val="000000"/>
          <w:sz w:val="20"/>
          <w:u w:val="single"/>
        </w:rPr>
        <w:t>Item 6.</w:t>
      </w:r>
      <w:r>
        <w:rPr>
          <w:rFonts w:ascii="Times New Roman" w:hAnsi="Times New Roman"/>
          <w:color w:val="000000"/>
          <w:sz w:val="20"/>
        </w:rPr>
        <w:t xml:space="preserve">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2"/>
        <w:gridCol w:w="9703"/>
      </w:tblGrid>
      <w:tr>
        <w:trPr/>
        <w:tc>
          <w:tcPr>
            <w:tcW w:w="502"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_1.htm">
              <w:r>
                <w:rPr>
                  <w:rStyle w:val="InternetLink"/>
                  <w:rFonts w:ascii="Times New Roman" w:hAnsi="Times New Roman"/>
                  <w:color w:val="0000FF"/>
                  <w:sz w:val="20"/>
                  <w:u w:val="single"/>
                </w:rPr>
                <w:t>Amended and Restated Certificate of Incorporation of Fortune Brands Innovations, Inc., effective May 6, 2026.</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_2.htm">
              <w:r>
                <w:rPr>
                  <w:rStyle w:val="InternetLink"/>
                  <w:rFonts w:ascii="Times New Roman" w:hAnsi="Times New Roman"/>
                  <w:color w:val="0000FF"/>
                  <w:sz w:val="20"/>
                  <w:u w:val="single"/>
                </w:rPr>
                <w:t>Amended and Restated Bylaws of Fortune Brands Innovations, Inc., effective May 6, 2026.</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1_1.htm">
              <w:r>
                <w:rPr>
                  <w:rStyle w:val="InternetLink"/>
                  <w:rFonts w:ascii="Times New Roman" w:hAnsi="Times New Roman"/>
                  <w:color w:val="0000FF"/>
                  <w:sz w:val="20"/>
                  <w:u w:val="single"/>
                </w:rPr>
                <w:t>Certificate of Interim Chief Executive Officer Required Under Section 302 of the Sarbanes-Oxley Act of 2002.</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1_2.htm">
              <w:r>
                <w:rPr>
                  <w:rStyle w:val="InternetLink"/>
                  <w:rFonts w:ascii="Times New Roman" w:hAnsi="Times New Roman"/>
                  <w:color w:val="0000FF"/>
                  <w:sz w:val="20"/>
                  <w:u w:val="single"/>
                </w:rPr>
                <w:t>Certificate of Interim Chief Financial Officer Required Under Section 302 of the Sarbanes-Oxley Act of 2002.</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2.htm">
              <w:r>
                <w:rPr>
                  <w:rStyle w:val="InternetLink"/>
                  <w:rFonts w:ascii="Times New Roman" w:hAnsi="Times New Roman"/>
                  <w:color w:val="0000FF"/>
                  <w:sz w:val="20"/>
                  <w:u w:val="single"/>
                </w:rPr>
                <w:t>Joint Interim Chief Executive Officer/Interim Chief Financial Officer Certificate Required Under Section 906 of the Sarbanes-Oxley Act of 2002.</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7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March 28, 2026 formatted in Inline eXtensible Business Reporting Language (iXBRL): (i) the Cover Page, (ii) the Condensed Consolidated Statements of Comprehensive Income, (iii) the Condensed Consolidated Balance Sheets, (iv) the Condensed Consolidated Statements of Cash Flows, (v) the Condensed Consolidated Statements of Equity, and (vi) the Notes to the Condensed Consolidated Financial Statements.</w:t>
            </w:r>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16" w:name="signature"/>
      <w:bookmarkEnd w:id="16"/>
      <w:r>
        <w:rPr>
          <w:rFonts w:ascii="Times New Roman" w:hAnsi="Times New Roman"/>
          <w:b/>
          <w:color w:val="000000"/>
          <w:sz w:val="20"/>
          <w:u w:val="single"/>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52" w:type="dxa"/>
        <w:jc w:val="left"/>
        <w:tblInd w:w="0" w:type="dxa"/>
        <w:tblLayout w:type="fixed"/>
        <w:tblCellMar>
          <w:top w:w="28" w:type="dxa"/>
          <w:left w:w="28" w:type="dxa"/>
          <w:bottom w:w="28" w:type="dxa"/>
          <w:right w:w="28" w:type="dxa"/>
        </w:tblCellMar>
      </w:tblPr>
      <w:tblGrid>
        <w:gridCol w:w="1636"/>
        <w:gridCol w:w="6016"/>
      </w:tblGrid>
      <w:tr>
        <w:trPr/>
        <w:tc>
          <w:tcPr>
            <w:tcW w:w="1636"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6016" w:type="dxa"/>
            <w:tcBorders>
              <w:bottom w:val="single" w:sz="4" w:space="0" w:color="000000"/>
            </w:tcBorders>
            <w:tcMar>
              <w:top w:w="0" w:type="dxa"/>
              <w:left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Ashley George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Ashley George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and principal financial officer of the Registrant)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bookmarkStart w:id="17" w:name="fbin-ex3_1.htm"/>
      <w:bookmarkStart w:id="18" w:name="ksfbinex3_1"/>
      <w:bookmarkEnd w:id="17"/>
      <w:bookmarkEnd w:id="18"/>
      <w:r>
        <w:rPr/>
        <w:t> </w:t>
      </w:r>
      <w:r>
        <w:br w:type="page"/>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AMENDED AND RESTATED CERTIFICATE OF INCORPORATION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FORTUNE BRANDS INNOVATIONS, INC.</w:t>
      </w:r>
    </w:p>
    <w:p>
      <w:pPr>
        <w:pStyle w:val="TextBody"/>
        <w:bidi w:val="0"/>
        <w:spacing w:before="240" w:after="283"/>
        <w:jc w:val="center"/>
        <w:rPr>
          <w:rFonts w:ascii="Times New Roman" w:hAnsi="Times New Roman"/>
          <w:sz w:val="20"/>
        </w:rPr>
      </w:pPr>
      <w:r>
        <w:rPr>
          <w:rFonts w:ascii="Times New Roman" w:hAnsi="Times New Roman"/>
          <w:color w:val="000000"/>
          <w:sz w:val="18"/>
        </w:rPr>
        <w:t>a Delaware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Fortune Brands Innovations, Inc., a corporation organized and existing under the laws of the State of Delaware (the “</w:t>
      </w:r>
      <w:r>
        <w:rPr>
          <w:rFonts w:ascii="Times New Roman" w:hAnsi="Times New Roman"/>
          <w:b/>
          <w:color w:val="000000"/>
          <w:sz w:val="18"/>
        </w:rPr>
        <w:t>Corporation</w:t>
      </w:r>
      <w:r>
        <w:rPr>
          <w:rFonts w:ascii="Times New Roman" w:hAnsi="Times New Roman"/>
          <w:color w:val="000000"/>
          <w:sz w:val="20"/>
        </w:rPr>
        <w:t>”</w:t>
      </w:r>
      <w:r>
        <w:rPr>
          <w:rFonts w:ascii="Times New Roman" w:hAnsi="Times New Roman"/>
          <w:color w:val="000000"/>
          <w:sz w:val="18"/>
        </w:rPr>
        <w:t>), hereby certifies as follows: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The name of the Corporation is Fortune Brands Innovations, Inc. The Corporation was originally incorporated under the name AB Hardware Inc. The Corporation’s original certificate of incorporation was filed with the office of the Secretary of State of the State of Delaware on 06/09/1988.</w:t>
      </w:r>
    </w:p>
    <w:p>
      <w:pPr>
        <w:pStyle w:val="TextBody"/>
        <w:bidi w:val="0"/>
        <w:spacing w:before="240" w:after="283"/>
        <w:jc w:val="left"/>
        <w:rPr>
          <w:rFonts w:ascii="Times New Roman" w:hAnsi="Times New Roman"/>
          <w:sz w:val="20"/>
        </w:rPr>
      </w:pPr>
      <w:r>
        <w:rPr>
          <w:rFonts w:ascii="Times New Roman" w:hAnsi="Times New Roman"/>
          <w:color w:val="000000"/>
          <w:sz w:val="18"/>
        </w:rPr>
        <w:t>B. This amended and restated certificate of incorporation was duly adopted in accordance with Sections 242 and 245 of the General Corporation Law of the State of Delaware, as amended (the “</w:t>
      </w:r>
      <w:r>
        <w:rPr>
          <w:rFonts w:ascii="Times New Roman" w:hAnsi="Times New Roman"/>
          <w:b/>
          <w:color w:val="000000"/>
          <w:sz w:val="18"/>
        </w:rPr>
        <w:t>DGCL</w:t>
      </w:r>
      <w:r>
        <w:rPr>
          <w:rFonts w:ascii="Times New Roman" w:hAnsi="Times New Roman"/>
          <w:color w:val="000000"/>
          <w:sz w:val="20"/>
        </w:rPr>
        <w:t>”</w:t>
      </w:r>
      <w:r>
        <w:rPr>
          <w:rFonts w:ascii="Times New Roman" w:hAnsi="Times New Roman"/>
          <w:color w:val="000000"/>
          <w:sz w:val="18"/>
        </w:rPr>
        <w:t>), restates and amends the provisions of the Corporation’s certificate of incorporation and has been duly approved by the written consent of the stockholders of the Corporation in accordance with Section 228 of the DGCL.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 The text of the certificate of incorporation of this Corporation is hereby amended and restated to read in its entirety as follows: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 xml:space="preserve">ARTICLE I </w:t>
        <w:br/>
      </w:r>
      <w:r>
        <w:rPr>
          <w:rFonts w:ascii="Times New Roman" w:hAnsi="Times New Roman"/>
          <w:b/>
          <w:color w:val="000000"/>
          <w:sz w:val="18"/>
          <w:u w:val="single"/>
        </w:rPr>
        <w:t>NAME</w:t>
      </w:r>
    </w:p>
    <w:p>
      <w:pPr>
        <w:pStyle w:val="TextBody"/>
        <w:bidi w:val="0"/>
        <w:spacing w:before="240" w:after="283"/>
        <w:jc w:val="left"/>
        <w:rPr>
          <w:rFonts w:ascii="Times New Roman" w:hAnsi="Times New Roman"/>
          <w:sz w:val="20"/>
        </w:rPr>
      </w:pPr>
      <w:r>
        <w:rPr>
          <w:rFonts w:ascii="Times New Roman" w:hAnsi="Times New Roman"/>
          <w:color w:val="000000"/>
          <w:sz w:val="18"/>
        </w:rPr>
        <w:t>The name of the Corporation is Fortune Brands Innovations,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II</w:t>
        <w:br/>
      </w:r>
      <w:r>
        <w:rPr>
          <w:rFonts w:ascii="Times New Roman" w:hAnsi="Times New Roman"/>
          <w:b/>
          <w:color w:val="000000"/>
          <w:sz w:val="18"/>
          <w:u w:val="single"/>
        </w:rPr>
        <w:t>REGISTERED OFFICE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address of the Corporation’s registered office in the State of Delaware is 251 Little Falls Drive, Wilmington, Delaware 19808, County of New Castle. The name of its registered agent at such address is Corporation Service Company.</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III</w:t>
        <w:br/>
      </w:r>
      <w:r>
        <w:rPr>
          <w:rFonts w:ascii="Times New Roman" w:hAnsi="Times New Roman"/>
          <w:b/>
          <w:color w:val="000000"/>
          <w:sz w:val="18"/>
          <w:u w:val="single"/>
        </w:rPr>
        <w:t>PURPOSE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purpose of the Corporation is to engage in any lawful act or activity for which corporations may be organized under the DGCL.</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IV</w:t>
        <w:br/>
      </w:r>
      <w:r>
        <w:rPr>
          <w:rFonts w:ascii="Times New Roman" w:hAnsi="Times New Roman"/>
          <w:b/>
          <w:color w:val="000000"/>
          <w:sz w:val="18"/>
          <w:u w:val="single"/>
        </w:rPr>
        <w:t>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4.1 </w:t>
      </w:r>
      <w:r>
        <w:rPr>
          <w:rFonts w:ascii="Times New Roman" w:hAnsi="Times New Roman"/>
          <w:color w:val="000000"/>
          <w:sz w:val="18"/>
          <w:u w:val="single"/>
        </w:rPr>
        <w:t>Authorized Capital Stock</w:t>
      </w:r>
      <w:r>
        <w:rPr>
          <w:rFonts w:ascii="Times New Roman" w:hAnsi="Times New Roman"/>
          <w:color w:val="000000"/>
          <w:sz w:val="18"/>
        </w:rPr>
        <w:t>. The total number of shares of all classes of capital stock that the Corporation is authorized to issue is eight hundred ten million (810,000,000) shares, consisting of seven hundred fifty million (750,000,000) shares of common stock, par value $0.01 per share (“</w:t>
      </w:r>
      <w:r>
        <w:rPr>
          <w:rFonts w:ascii="Times New Roman" w:hAnsi="Times New Roman"/>
          <w:b/>
          <w:color w:val="000000"/>
          <w:sz w:val="18"/>
        </w:rPr>
        <w:t>Common Stock</w:t>
      </w:r>
      <w:r>
        <w:rPr>
          <w:rFonts w:ascii="Times New Roman" w:hAnsi="Times New Roman"/>
          <w:color w:val="000000"/>
          <w:sz w:val="20"/>
        </w:rPr>
        <w:t>”</w:t>
      </w:r>
      <w:r>
        <w:rPr>
          <w:rFonts w:ascii="Times New Roman" w:hAnsi="Times New Roman"/>
          <w:color w:val="000000"/>
          <w:sz w:val="18"/>
        </w:rPr>
        <w:t>), and sixty million (60,000,000) shares of preferred stock, par value $0.01 per share (“</w:t>
      </w:r>
      <w:r>
        <w:rPr>
          <w:rFonts w:ascii="Times New Roman" w:hAnsi="Times New Roman"/>
          <w:b/>
          <w:color w:val="000000"/>
          <w:sz w:val="18"/>
        </w:rPr>
        <w:t>Preferred Stock</w:t>
      </w:r>
      <w:r>
        <w:rPr>
          <w:rFonts w:ascii="Times New Roman" w:hAnsi="Times New Roman"/>
          <w:color w:val="000000"/>
          <w:sz w:val="20"/>
        </w:rPr>
        <w:t>”</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4.2 </w:t>
      </w:r>
      <w:r>
        <w:rPr>
          <w:rFonts w:ascii="Times New Roman" w:hAnsi="Times New Roman"/>
          <w:color w:val="000000"/>
          <w:sz w:val="18"/>
          <w:u w:val="single"/>
        </w:rPr>
        <w:t>Increase or Decrease in Authorized Capital Stock</w:t>
      </w:r>
      <w:r>
        <w:rPr>
          <w:rFonts w:ascii="Times New Roman" w:hAnsi="Times New Roman"/>
          <w:color w:val="000000"/>
          <w:sz w:val="18"/>
        </w:rPr>
        <w:t xml:space="preserve">. The number of authorized shares of Preferred Stock or Common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Times New Roman" w:hAnsi="Times New Roman"/>
          <w:color w:val="000000"/>
          <w:sz w:val="18"/>
          <w:u w:val="single"/>
        </w:rPr>
        <w:t>Section 4.4</w:t>
      </w:r>
      <w:r>
        <w:rPr>
          <w:rFonts w:ascii="Times New Roman" w:hAnsi="Times New Roman"/>
          <w:color w:val="000000"/>
          <w:sz w:val="20"/>
        </w:rPr>
        <w:t xml:space="preserve"> </w:t>
      </w:r>
      <w:r>
        <w:rPr>
          <w:rFonts w:ascii="Times New Roman" w:hAnsi="Times New Roman"/>
          <w:color w:val="000000"/>
          <w:sz w:val="18"/>
        </w:rPr>
        <w:t>of this Certificate of Incorporation (as defined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4.3 </w:t>
      </w:r>
      <w:r>
        <w:rPr>
          <w:rFonts w:ascii="Times New Roman" w:hAnsi="Times New Roman"/>
          <w:color w:val="000000"/>
          <w:sz w:val="18"/>
          <w:u w:val="single"/>
        </w:rPr>
        <w:t>Common Stock</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The holders of shares of Common Stock shall be entitled to one vote for each such share on each matter properly submitted to the stockholders on which the holders of shares of Common Stock are entitled to vote. The holders of shares of Common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Stock shall not have cumulative voting rights. Except as otherwise required by law or this restated certificate of incorporation of the Corporation (as further amended from time to time in accordance with the provisions hereof and including, without limitation, the terms of any certificate of designation with respect to any series of Preferred Stock, this “</w:t>
      </w:r>
      <w:r>
        <w:rPr>
          <w:rFonts w:ascii="Times New Roman" w:hAnsi="Times New Roman"/>
          <w:b/>
          <w:color w:val="000000"/>
          <w:sz w:val="18"/>
        </w:rPr>
        <w:t>Certificate of Incorporation</w:t>
      </w:r>
      <w:r>
        <w:rPr>
          <w:rFonts w:ascii="Times New Roman" w:hAnsi="Times New Roman"/>
          <w:color w:val="000000"/>
          <w:sz w:val="20"/>
        </w:rPr>
        <w:t>”</w:t>
      </w:r>
      <w:r>
        <w:rPr>
          <w:rFonts w:ascii="Times New Roman" w:hAnsi="Times New Roman"/>
          <w:color w:val="000000"/>
          <w:sz w:val="18"/>
        </w:rPr>
        <w:t xml:space="preserve">), and subject to the rights of the holders of Preferred Stock, if any, at any annual or special meeting of the stockholders of the Corporation, the holders of shares of Common Stock shall have the right to vote for the election of directors and on all other matters properly submitted to a vote of the stockholders; </w:t>
      </w:r>
      <w:r>
        <w:rPr>
          <w:rFonts w:ascii="Times New Roman" w:hAnsi="Times New Roman"/>
          <w:color w:val="000000"/>
          <w:sz w:val="18"/>
          <w:u w:val="single"/>
        </w:rPr>
        <w:t>provided</w:t>
      </w:r>
      <w:r>
        <w:rPr>
          <w:rFonts w:ascii="Times New Roman" w:hAnsi="Times New Roman"/>
          <w:color w:val="000000"/>
          <w:sz w:val="18"/>
        </w:rPr>
        <w:t xml:space="preserve">, </w:t>
      </w:r>
      <w:r>
        <w:rPr>
          <w:rFonts w:ascii="Times New Roman" w:hAnsi="Times New Roman"/>
          <w:color w:val="000000"/>
          <w:sz w:val="18"/>
          <w:u w:val="single"/>
        </w:rPr>
        <w:t>however</w:t>
      </w:r>
      <w:r>
        <w:rPr>
          <w:rFonts w:ascii="Times New Roman" w:hAnsi="Times New Roman"/>
          <w:color w:val="000000"/>
          <w:sz w:val="18"/>
        </w:rPr>
        <w:t>, 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 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Times New Roman" w:hAnsi="Times New Roman"/>
          <w:b/>
          <w:color w:val="000000"/>
          <w:sz w:val="18"/>
        </w:rPr>
        <w:t>Board</w:t>
      </w:r>
      <w:r>
        <w:rPr>
          <w:rFonts w:ascii="Times New Roman" w:hAnsi="Times New Roman"/>
          <w:color w:val="000000"/>
          <w:sz w:val="20"/>
        </w:rPr>
        <w:t>”</w:t>
      </w:r>
      <w:r>
        <w:rPr>
          <w:rFonts w:ascii="Times New Roman" w:hAnsi="Times New Roman"/>
          <w:color w:val="000000"/>
          <w:sz w:val="18"/>
        </w:rPr>
        <w:t>) from time to time out of any assets or funds of the Corporation legally available therefor and shall share equally on a per share basis in such dividends and distributions.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 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of the remaining assets of the Corporation available for distribution to its stockholders, ratably in proportion to the number of shares of Common Stock held by them.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4.4 </w:t>
      </w:r>
      <w:r>
        <w:rPr>
          <w:rFonts w:ascii="Times New Roman" w:hAnsi="Times New Roman"/>
          <w:color w:val="000000"/>
          <w:sz w:val="18"/>
          <w:u w:val="single"/>
        </w:rPr>
        <w:t>Preferred Stock</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The Board is expressly authorized to issue from time to time the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 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w:t>
        <w:br/>
      </w:r>
      <w:r>
        <w:rPr>
          <w:rFonts w:ascii="Times New Roman" w:hAnsi="Times New Roman"/>
          <w:b/>
          <w:color w:val="000000"/>
          <w:sz w:val="18"/>
          <w:u w:val="single"/>
        </w:rPr>
        <w:t>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5.1 </w:t>
      </w:r>
      <w:r>
        <w:rPr>
          <w:rFonts w:ascii="Times New Roman" w:hAnsi="Times New Roman"/>
          <w:color w:val="000000"/>
          <w:sz w:val="18"/>
          <w:u w:val="single"/>
        </w:rPr>
        <w:t>General Powers</w:t>
      </w:r>
      <w:r>
        <w:rPr>
          <w:rFonts w:ascii="Times New Roman" w:hAnsi="Times New Roman"/>
          <w:color w:val="000000"/>
          <w:sz w:val="18"/>
        </w:rPr>
        <w:t>. The business and affairs of the Corporation shall be managed by or under the direction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5.2 </w:t>
      </w:r>
      <w:r>
        <w:rPr>
          <w:rFonts w:ascii="Times New Roman" w:hAnsi="Times New Roman"/>
          <w:color w:val="000000"/>
          <w:sz w:val="18"/>
          <w:u w:val="single"/>
        </w:rPr>
        <w:t>Number of Directors; Election; Term</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The number of directors that shall constitute the entire Board shall not be less than five (5) nor more than fifteen (15). Within such limit, the number of members of the entire Board shall be fixed, from time to time, exclusively by the Board, subject to the rights of the holders of preferred stock with respect to the election of directors,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 Subject to the rights of holders of any series of Preferred Stock with respect to the election of directors, the directors of the Corporation shall be divided into three classes as nearly equal in size as is practicable, hereby designated Class I, Class II and Class III, until the conclusion of the 2029 annual meeting of stockholders (the “2029 Annual Meeting”), as described below. Class I directors have a term expiring at the 2027 annual meeting of stockholders (the “2027 Annual Meeting”); Class II directors have a term expiring at the 2028 annual meeting of stockholders (the “2028 Annual Meeting”); and Class III directors have a term expiring at the 2029 Annual Meeting. Each director elected by the stockholders prior to the 2027 Annual Meeting shall continue to serve as a director for the term for which such director was elected. Each director elected at or after the 2027 Annual Meeting shall be elected for a term expiring at the next annual meeting of stockholders. After the conclusion of the 2029 Annual Meeting, the Board of Directors shall cease to be classified.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(c) Notwithstanding the foregoing provisions of this </w:t>
      </w:r>
      <w:r>
        <w:rPr>
          <w:rFonts w:ascii="Times New Roman" w:hAnsi="Times New Roman"/>
          <w:color w:val="000000"/>
          <w:sz w:val="18"/>
          <w:u w:val="single"/>
        </w:rPr>
        <w:t>Section 5.2</w:t>
      </w:r>
      <w:r>
        <w:rPr>
          <w:rFonts w:ascii="Times New Roman" w:hAnsi="Times New Roman"/>
          <w:color w:val="000000"/>
          <w:sz w:val="18"/>
        </w:rPr>
        <w:t>, and subject to the rights of holders of any series of Preferred Stock with respect to the election of directors, each director shall serve until such director’s successor is duly elected and qualified or until such director’s earlier death, resignation or removal.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 Elections of directors need not be by written ballot unless the bylaws of the Corporation (as amended from time to time in accordance with the provisions hereof and thereof, the “</w:t>
      </w:r>
      <w:r>
        <w:rPr>
          <w:rFonts w:ascii="Times New Roman" w:hAnsi="Times New Roman"/>
          <w:b/>
          <w:color w:val="000000"/>
          <w:sz w:val="18"/>
        </w:rPr>
        <w:t>Bylaws</w:t>
      </w:r>
      <w:r>
        <w:rPr>
          <w:rFonts w:ascii="Times New Roman" w:hAnsi="Times New Roman"/>
          <w:color w:val="000000"/>
          <w:sz w:val="20"/>
        </w:rPr>
        <w:t>”</w:t>
      </w:r>
      <w:r>
        <w:rPr>
          <w:rFonts w:ascii="Times New Roman" w:hAnsi="Times New Roman"/>
          <w:color w:val="000000"/>
          <w:sz w:val="18"/>
        </w:rPr>
        <w:t>) shall so provide.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(e) Notwithstanding any of the other provisions of this </w:t>
      </w:r>
      <w:r>
        <w:rPr>
          <w:rFonts w:ascii="Times New Roman" w:hAnsi="Times New Roman"/>
          <w:color w:val="000000"/>
          <w:sz w:val="18"/>
          <w:u w:val="single"/>
        </w:rPr>
        <w:t>Article V</w:t>
      </w:r>
      <w:r>
        <w:rPr>
          <w:rFonts w:ascii="Times New Roman" w:hAnsi="Times New Roman"/>
          <w:color w:val="000000"/>
          <w:sz w:val="18"/>
        </w:rPr>
        <w:t xml:space="preserve">,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w:t>
      </w:r>
      <w:r>
        <w:rPr>
          <w:rFonts w:ascii="Times New Roman" w:hAnsi="Times New Roman"/>
          <w:color w:val="000000"/>
          <w:sz w:val="18"/>
          <w:u w:val="single"/>
        </w:rPr>
        <w:t>Article V</w:t>
      </w:r>
      <w:r>
        <w:rPr>
          <w:rFonts w:ascii="Times New Roman" w:hAnsi="Times New Roman"/>
          <w:color w:val="000000"/>
          <w:sz w:val="20"/>
        </w:rPr>
        <w:t xml:space="preserve"> </w:t>
      </w:r>
      <w:r>
        <w:rPr>
          <w:rFonts w:ascii="Times New Roman" w:hAnsi="Times New Roman"/>
          <w:color w:val="000000"/>
          <w:sz w:val="18"/>
        </w:rPr>
        <w:t xml:space="preserve">unless expressly provided by such terms. During any period when the holders of any series of Preferred Stock have the right to elect additional directors as provided for or fixed pursuant to the provisions of this </w:t>
      </w:r>
      <w:r>
        <w:rPr>
          <w:rFonts w:ascii="Times New Roman" w:hAnsi="Times New Roman"/>
          <w:color w:val="000000"/>
          <w:sz w:val="18"/>
          <w:u w:val="single"/>
        </w:rPr>
        <w:t>Article V</w:t>
      </w:r>
      <w:r>
        <w:rPr>
          <w:rFonts w:ascii="Times New Roman" w:hAnsi="Times New Roman"/>
          <w:color w:val="000000"/>
          <w:sz w:val="18"/>
        </w:rPr>
        <w:t>,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pStyle w:val="TextBody"/>
        <w:bidi w:val="0"/>
        <w:spacing w:before="240" w:after="283"/>
        <w:jc w:val="left"/>
        <w:rPr>
          <w:rFonts w:ascii="Times New Roman" w:hAnsi="Times New Roman"/>
          <w:sz w:val="20"/>
        </w:rPr>
      </w:pPr>
      <w:r>
        <w:rPr>
          <w:rFonts w:ascii="Times New Roman" w:hAnsi="Times New Roman"/>
          <w:color w:val="262626"/>
          <w:sz w:val="18"/>
        </w:rPr>
        <w:t xml:space="preserve">5.3 </w:t>
      </w:r>
      <w:r>
        <w:rPr>
          <w:rFonts w:ascii="Times New Roman" w:hAnsi="Times New Roman"/>
          <w:color w:val="262626"/>
          <w:sz w:val="18"/>
          <w:u w:val="single"/>
        </w:rPr>
        <w:t>Removal</w:t>
      </w:r>
      <w:r>
        <w:rPr>
          <w:rFonts w:ascii="Times New Roman" w:hAnsi="Times New Roman"/>
          <w:color w:val="262626"/>
          <w:sz w:val="18"/>
        </w:rPr>
        <w:t>. Subject to the rights of holders of any series of Preferred Stock with respect to the election of directors, any director serving in a class of directors elected for a term expiring at the third annual meeting of stockholders following the election of such class shall be removable only for cause, and all other directors shall be removable with or without cause.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5.4 </w:t>
      </w:r>
      <w:r>
        <w:rPr>
          <w:rFonts w:ascii="Times New Roman" w:hAnsi="Times New Roman"/>
          <w:color w:val="000000"/>
          <w:sz w:val="18"/>
          <w:u w:val="single"/>
        </w:rPr>
        <w:t>Vacancies and Newly Created Directorships</w:t>
      </w:r>
      <w:r>
        <w:rPr>
          <w:rFonts w:ascii="Times New Roman" w:hAnsi="Times New Roman"/>
          <w:color w:val="000000"/>
          <w:sz w:val="18"/>
        </w:rPr>
        <w:t xml:space="preserve">. </w:t>
      </w:r>
      <w:r>
        <w:rPr>
          <w:rFonts w:ascii="Times New Roman" w:hAnsi="Times New Roman"/>
          <w:color w:val="262626"/>
          <w:sz w:val="18"/>
        </w:rPr>
        <w:t>Subject to the rights of holders of any series of Preferred Stock with respect to the election of directors, vacancies occurring on the Board for any reason and newly created directorships resulting from an increase in the number of directors may be filled only by vote of a majority of the remaining members of the Board, although less than a quorum, or by a sole remaining director, at any meeting of the Board. A person so elected by the Board to fill a vacancy or newly created directorship shall hold office until the next election of the class for which such person shall have been assigned by the Board and until such person’s successor shall be duly elected and qualified.</w:t>
      </w:r>
      <w:r>
        <w:rPr>
          <w:rFonts w:ascii="Times New Roman" w:hAnsi="Times New Roman"/>
          <w:color w:val="262626"/>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VI</w:t>
        <w:br/>
      </w:r>
      <w:r>
        <w:rPr>
          <w:rFonts w:ascii="Times New Roman" w:hAnsi="Times New Roman"/>
          <w:b/>
          <w:color w:val="000000"/>
          <w:sz w:val="18"/>
          <w:u w:val="single"/>
        </w:rPr>
        <w:t>AMENDMENT OF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furtherance and not in limitation of the powers conferred by statute, the Board is expressly authorized to adopt, amend, alter or repeal the Bylaws. The Bylaws may also be adopted, amended, altered or repealed by the stockholders by the affirmative vote of a majority of the voting power of all then outstanding shares of capital stock of the Corporation entitled to vote generally on such matter, voting as a single class.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VII</w:t>
        <w:br/>
      </w:r>
      <w:r>
        <w:rPr>
          <w:rFonts w:ascii="Times New Roman" w:hAnsi="Times New Roman"/>
          <w:b/>
          <w:color w:val="000000"/>
          <w:sz w:val="18"/>
          <w:u w:val="single"/>
        </w:rPr>
        <w:t>STOCKHOLDERS</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7.1 </w:t>
      </w:r>
      <w:r>
        <w:rPr>
          <w:rFonts w:ascii="Times New Roman" w:hAnsi="Times New Roman"/>
          <w:color w:val="000000"/>
          <w:sz w:val="18"/>
          <w:u w:val="single"/>
        </w:rPr>
        <w:t>No Action by Written Consent of Stockholders</w:t>
      </w:r>
      <w:r>
        <w:rPr>
          <w:rFonts w:ascii="Times New Roman" w:hAnsi="Times New Roman"/>
          <w:color w:val="000000"/>
          <w:sz w:val="18"/>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7.2 </w:t>
      </w:r>
      <w:r>
        <w:rPr>
          <w:rFonts w:ascii="Times New Roman" w:hAnsi="Times New Roman"/>
          <w:color w:val="000000"/>
          <w:sz w:val="18"/>
          <w:u w:val="single"/>
        </w:rPr>
        <w:t>Special Meetings</w:t>
      </w:r>
      <w:r>
        <w:rPr>
          <w:rFonts w:ascii="Times New Roman" w:hAnsi="Times New Roman"/>
          <w:color w:val="000000"/>
          <w:sz w:val="18"/>
        </w:rPr>
        <w:t>. Except as otherwise expressly provided by the terms of any series of Preferred Stock permitting the holders of such series of Preferred Stock to call a special meeting of the holders of such series, special meetings of the stockholders of the Corporation may be called only by the chairperson of the Board, the chief executive officer of the Corporation or the Board, and the ability of the stockholders to call a special meeting of the stockholders is hereby specifically denied.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7.3 </w:t>
      </w:r>
      <w:r>
        <w:rPr>
          <w:rFonts w:ascii="Times New Roman" w:hAnsi="Times New Roman"/>
          <w:color w:val="000000"/>
          <w:sz w:val="18"/>
          <w:u w:val="single"/>
        </w:rPr>
        <w:t>Advance Notice</w:t>
      </w:r>
      <w:r>
        <w:rPr>
          <w:rFonts w:ascii="Times New Roman" w:hAnsi="Times New Roman"/>
          <w:color w:val="000000"/>
          <w:sz w:val="18"/>
        </w:rPr>
        <w:t>. Advance notice of stockholder nominations for the election of directors and of business to be brought by stockholders before any meeting of the stockholders of the Corporation shall be given in the manner provided in the Bylaws.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VIII</w:t>
        <w:br/>
      </w:r>
      <w:r>
        <w:rPr>
          <w:rFonts w:ascii="Times New Roman" w:hAnsi="Times New Roman"/>
          <w:b/>
          <w:color w:val="000000"/>
          <w:sz w:val="18"/>
          <w:u w:val="single"/>
        </w:rPr>
        <w:t>LIMITATION OF LIABILITY AND INDEMNIFICATION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8.1 </w:t>
      </w:r>
      <w:r>
        <w:rPr>
          <w:rFonts w:ascii="Times New Roman" w:hAnsi="Times New Roman"/>
          <w:color w:val="000000"/>
          <w:sz w:val="18"/>
          <w:u w:val="single"/>
        </w:rPr>
        <w:t>Limitation of Personal Liability</w:t>
      </w:r>
      <w:r>
        <w:rPr>
          <w:rFonts w:ascii="Times New Roman" w:hAnsi="Times New Roman"/>
          <w:color w:val="000000"/>
          <w:sz w:val="18"/>
        </w:rPr>
        <w:t>.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For purposes of this Section 8.1, “officer” shall have the meaning provided in Section 102(b)(7) of the DGCL, as it presently exists or may hereafter be amended from time to time.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8.2 </w:t>
      </w:r>
      <w:r>
        <w:rPr>
          <w:rFonts w:ascii="Times New Roman" w:hAnsi="Times New Roman"/>
          <w:color w:val="000000"/>
          <w:sz w:val="18"/>
          <w:u w:val="single"/>
        </w:rPr>
        <w:t>Indemnification and Advancement of Expenses</w:t>
      </w:r>
      <w:r>
        <w:rPr>
          <w:rFonts w:ascii="Times New Roman" w:hAnsi="Times New Roman"/>
          <w:color w:val="000000"/>
          <w:sz w:val="18"/>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right to indemnification conferred by this </w:t>
      </w:r>
      <w:r>
        <w:rPr>
          <w:rFonts w:ascii="Times New Roman" w:hAnsi="Times New Roman"/>
          <w:color w:val="000000"/>
          <w:sz w:val="18"/>
          <w:u w:val="single"/>
        </w:rPr>
        <w:t>Section 8.2</w:t>
      </w:r>
      <w:r>
        <w:rPr>
          <w:rFonts w:ascii="Times New Roman" w:hAnsi="Times New Roman"/>
          <w:color w:val="000000"/>
          <w:sz w:val="20"/>
        </w:rPr>
        <w:t xml:space="preserve"> </w:t>
      </w:r>
      <w:r>
        <w:rPr>
          <w:rFonts w:ascii="Times New Roman" w:hAnsi="Times New Roman"/>
          <w:color w:val="000000"/>
          <w:sz w:val="18"/>
        </w:rPr>
        <w:t xml:space="preserve">shall include the right to be paid by the Corporation the expenses incurred in defending or otherwise participating in any proceeding in advance of its final disposition, provided that such director presents to the Corporation a written undertaking to repay such amount if it shall ultimately be determined that such director is not entitled to be indemnified by the Corporation under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or otherwise. Notwithstanding the foregoing, except for proceedings to enforce any officer’s or director’s rights to indemnification or any director’s rights to advancement of expenses, the Corporation shall not be obligated to indemnify any director or officer, or advance expenses of any director, (or such person’s heirs, executors or personal or legal representatives) in connection with any proceeding (or part thereof) initiated by such person unless such proceeding (or part thereof) was authorized by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8.3 </w:t>
      </w:r>
      <w:r>
        <w:rPr>
          <w:rFonts w:ascii="Times New Roman" w:hAnsi="Times New Roman"/>
          <w:color w:val="000000"/>
          <w:sz w:val="18"/>
          <w:u w:val="single"/>
        </w:rPr>
        <w:t>Non-Exclusivity of Rights</w:t>
      </w:r>
      <w:r>
        <w:rPr>
          <w:rFonts w:ascii="Times New Roman" w:hAnsi="Times New Roman"/>
          <w:color w:val="000000"/>
          <w:sz w:val="18"/>
        </w:rPr>
        <w:t xml:space="preserve">. The rights to indemnification and advancement of expenses conferred in </w:t>
      </w:r>
      <w:r>
        <w:rPr>
          <w:rFonts w:ascii="Times New Roman" w:hAnsi="Times New Roman"/>
          <w:color w:val="000000"/>
          <w:sz w:val="18"/>
          <w:u w:val="single"/>
        </w:rPr>
        <w:t>Section 8.2</w:t>
      </w:r>
      <w:r>
        <w:rPr>
          <w:rFonts w:ascii="Times New Roman" w:hAnsi="Times New Roman"/>
          <w:color w:val="000000"/>
          <w:sz w:val="20"/>
        </w:rPr>
        <w:t xml:space="preserve"> </w:t>
      </w:r>
      <w:r>
        <w:rPr>
          <w:rFonts w:ascii="Times New Roman" w:hAnsi="Times New Roman"/>
          <w:color w:val="000000"/>
          <w:sz w:val="18"/>
        </w:rPr>
        <w:t>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8.4 </w:t>
      </w:r>
      <w:r>
        <w:rPr>
          <w:rFonts w:ascii="Times New Roman" w:hAnsi="Times New Roman"/>
          <w:color w:val="000000"/>
          <w:sz w:val="18"/>
          <w:u w:val="single"/>
        </w:rPr>
        <w:t>Insurance</w:t>
      </w:r>
      <w:r>
        <w:rPr>
          <w:rFonts w:ascii="Times New Roman" w:hAnsi="Times New Roman"/>
          <w:color w:val="000000"/>
          <w:sz w:val="18"/>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or otherwise.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8.5 </w:t>
      </w:r>
      <w:r>
        <w:rPr>
          <w:rFonts w:ascii="Times New Roman" w:hAnsi="Times New Roman"/>
          <w:color w:val="000000"/>
          <w:sz w:val="18"/>
          <w:u w:val="single"/>
        </w:rPr>
        <w:t>Persons Other Than Directors and Officers</w:t>
      </w:r>
      <w:r>
        <w:rPr>
          <w:rFonts w:ascii="Times New Roman" w:hAnsi="Times New Roman"/>
          <w:color w:val="000000"/>
          <w:sz w:val="18"/>
        </w:rPr>
        <w:t xml:space="preserve">.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 xml:space="preserve">shall not limit the right of the Corporation, to the extent and in the manner permitted by law, to indemnify and to advance expenses to, or to purchase and maintain insurance on behalf of, persons other than those persons described in the first sentence of </w:t>
      </w:r>
      <w:r>
        <w:rPr>
          <w:rFonts w:ascii="Times New Roman" w:hAnsi="Times New Roman"/>
          <w:color w:val="000000"/>
          <w:sz w:val="18"/>
          <w:u w:val="single"/>
        </w:rPr>
        <w:t>Section 8.2</w:t>
      </w:r>
      <w:r>
        <w:rPr>
          <w:rFonts w:ascii="Times New Roman" w:hAnsi="Times New Roman"/>
          <w:color w:val="000000"/>
          <w:sz w:val="20"/>
        </w:rPr>
        <w:t xml:space="preserve"> </w:t>
      </w:r>
      <w:r>
        <w:rPr>
          <w:rFonts w:ascii="Times New Roman" w:hAnsi="Times New Roman"/>
          <w:color w:val="000000"/>
          <w:sz w:val="18"/>
        </w:rPr>
        <w:t>of this Certificate of Incorporation or to advance expenses to persons other than directors of the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8.6 </w:t>
      </w:r>
      <w:r>
        <w:rPr>
          <w:rFonts w:ascii="Times New Roman" w:hAnsi="Times New Roman"/>
          <w:color w:val="000000"/>
          <w:sz w:val="18"/>
          <w:u w:val="single"/>
        </w:rPr>
        <w:t>Effect of Modifications</w:t>
      </w:r>
      <w:r>
        <w:rPr>
          <w:rFonts w:ascii="Times New Roman" w:hAnsi="Times New Roman"/>
          <w:color w:val="000000"/>
          <w:sz w:val="18"/>
        </w:rPr>
        <w:t xml:space="preserve">. Any amendment, repeal or modification of any provision contained in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IX</w:t>
        <w:br/>
      </w:r>
      <w:r>
        <w:rPr>
          <w:rFonts w:ascii="Times New Roman" w:hAnsi="Times New Roman"/>
          <w:b/>
          <w:color w:val="000000"/>
          <w:sz w:val="18"/>
          <w:u w:val="single"/>
        </w:rPr>
        <w:t>MISCELLANEOUS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9.1 </w:t>
      </w:r>
      <w:r>
        <w:rPr>
          <w:rFonts w:ascii="Times New Roman" w:hAnsi="Times New Roman"/>
          <w:color w:val="000000"/>
          <w:sz w:val="18"/>
          <w:u w:val="single"/>
        </w:rPr>
        <w:t>Forum for Certain Actions</w:t>
      </w:r>
      <w:r>
        <w:rPr>
          <w:rFonts w:ascii="Times New Roman" w:hAnsi="Times New Roman"/>
          <w:color w:val="000000"/>
          <w:sz w:val="18"/>
        </w:rPr>
        <w:t>. Unless the Corporation consents in writing to the selection of an alternative forum, the Court of Chancery of the State of Delaware shall be the sole and exclusive forum for (a) any state derivative action or proceeding brought or purporting to be brought on behalf of the Corporation, (b) any state action asserting a claim of breach of a fiduciary duty owed by any current or former director or officer of the Corporation to the Corporation or the Corporation’s stockholders, (c) any action asserting a claim against the Corporation arising pursuant to any provision of the DGCL, this Certificate of Incorporation or the Bylaws or (d) any action asserting a claim against the Corporation or any of its current or former directors or officers that relates to the internal affairs or governance of the Corporation and arises under or by virtue of the laws of the State of Delaware, in each such case subject to such Court of Chancery having personal jurisdiction over the indispensible parties named as defendants therein.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9.2 </w:t>
      </w:r>
      <w:r>
        <w:rPr>
          <w:rFonts w:ascii="Times New Roman" w:hAnsi="Times New Roman"/>
          <w:color w:val="000000"/>
          <w:sz w:val="18"/>
          <w:u w:val="single"/>
        </w:rPr>
        <w:t>Amendment</w:t>
      </w:r>
      <w:r>
        <w:rPr>
          <w:rFonts w:ascii="Times New Roman" w:hAnsi="Times New Roman"/>
          <w:color w:val="000000"/>
          <w:sz w:val="18"/>
        </w:rPr>
        <w:t xml:space="preserve">. The Corporation reserves the right to amend, repeal or modify any provision contained in this Certificate of Incorporation, in the manner now or hereafter prescribed by this Certificate of Incorporation and the DGCL; and all rights, preferences and privileges herein conferred upon stockholders by and pursuant to this Certificate of Incorporation in its present form or as hereafter amended are granted subject to the right reserved in this </w:t>
      </w:r>
      <w:r>
        <w:rPr>
          <w:rFonts w:ascii="Times New Roman" w:hAnsi="Times New Roman"/>
          <w:color w:val="000000"/>
          <w:sz w:val="18"/>
          <w:u w:val="single"/>
        </w:rPr>
        <w:t>Article IX</w:t>
      </w:r>
      <w:r>
        <w:rPr>
          <w:rFonts w:ascii="Times New Roman" w:hAnsi="Times New Roman"/>
          <w:color w:val="000000"/>
          <w:sz w:val="18"/>
        </w:rPr>
        <w:t>.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repeal, modify or adopt any provision of this Certificate of Incorporation.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9.3 </w:t>
      </w:r>
      <w:r>
        <w:rPr>
          <w:rFonts w:ascii="Times New Roman" w:hAnsi="Times New Roman"/>
          <w:color w:val="000000"/>
          <w:sz w:val="18"/>
          <w:u w:val="single"/>
        </w:rPr>
        <w:t>Severability</w:t>
      </w:r>
      <w:r>
        <w:rPr>
          <w:rFonts w:ascii="Times New Roman" w:hAnsi="Times New Roman"/>
          <w:color w:val="000000"/>
          <w:sz w:val="18"/>
        </w:rPr>
        <w:t>.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WITNESS WHEREOF, the Corporation has caused this Amended and Restated Certificate of Incorporation to be signed by a duly authorized officer of the Corporation on this </w:t>
      </w:r>
      <w:r>
        <w:rPr>
          <w:rFonts w:ascii="Times New Roman" w:hAnsi="Times New Roman"/>
          <w:color w:val="000000"/>
          <w:sz w:val="18"/>
          <w:u w:val="single"/>
        </w:rPr>
        <w:t xml:space="preserve">6th </w:t>
      </w:r>
      <w:r>
        <w:rPr>
          <w:rFonts w:ascii="Times New Roman" w:hAnsi="Times New Roman"/>
          <w:color w:val="000000"/>
          <w:sz w:val="18"/>
        </w:rPr>
        <w:t xml:space="preserve">day of </w:t>
      </w:r>
      <w:r>
        <w:rPr>
          <w:rFonts w:ascii="Times New Roman" w:hAnsi="Times New Roman"/>
          <w:color w:val="000000"/>
          <w:sz w:val="18"/>
          <w:u w:val="single"/>
        </w:rPr>
        <w:t xml:space="preserve">May </w:t>
      </w:r>
      <w:r>
        <w:rPr>
          <w:rFonts w:ascii="Times New Roman" w:hAnsi="Times New Roman"/>
          <w:color w:val="000000"/>
          <w:sz w:val="18"/>
        </w:rPr>
        <w:t>, 2026.</w:t>
      </w:r>
      <w:r>
        <w:rPr>
          <w:rFonts w:ascii="Times New Roman" w:hAnsi="Times New Roman"/>
          <w:color w:val="000000"/>
          <w:sz w:val="20"/>
        </w:rPr>
        <w:t xml:space="preserve"> </w:t>
      </w:r>
    </w:p>
    <w:p>
      <w:pPr>
        <w:pStyle w:val="TextBody"/>
        <w:bidi w:val="0"/>
        <w:jc w:val="center"/>
        <w:rPr/>
      </w:pPr>
      <w:r>
        <w:rPr/>
        <w:t> </w:t>
      </w:r>
    </w:p>
    <w:tbl>
      <w:tblPr>
        <w:tblW w:w="5631" w:type="dxa"/>
        <w:jc w:val="left"/>
        <w:tblInd w:w="0" w:type="dxa"/>
        <w:tblLayout w:type="fixed"/>
        <w:tblCellMar>
          <w:top w:w="28" w:type="dxa"/>
          <w:left w:w="28" w:type="dxa"/>
          <w:bottom w:w="28" w:type="dxa"/>
          <w:right w:w="28" w:type="dxa"/>
        </w:tblCellMar>
      </w:tblPr>
      <w:tblGrid>
        <w:gridCol w:w="376"/>
        <w:gridCol w:w="109"/>
        <w:gridCol w:w="5146"/>
      </w:tblGrid>
      <w:tr>
        <w:trPr/>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Hiranda S. Donoghue</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Hiranda S. Donoghue</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Vice President, Chief Legal Officer and Corporate Secretary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bookmarkStart w:id="19" w:name="fbin-ex3_2.htm"/>
      <w:bookmarkStart w:id="20" w:name="ksfbinex3_2"/>
      <w:bookmarkEnd w:id="19"/>
      <w:bookmarkEnd w:id="20"/>
      <w:r>
        <w:rPr>
          <w:rFonts w:ascii="Times New Roman" w:hAnsi="Times New Roman"/>
          <w:b/>
          <w:color w:val="000000"/>
          <w:sz w:val="24"/>
        </w:rPr>
        <w:t xml:space="preserve">AMENDED AND RESTATED BYLAWS </w:t>
        <w:br/>
        <w:t xml:space="preserve">OF </w:t>
        <w:br/>
        <w:t xml:space="preserve">FORTUNE BRANDS INNOVATIONS, INC. </w:t>
        <w:br/>
      </w:r>
      <w:r>
        <w:rPr>
          <w:rFonts w:ascii="Times New Roman" w:hAnsi="Times New Roman"/>
          <w:color w:val="000000"/>
          <w:sz w:val="24"/>
        </w:rPr>
        <w:t>(hereinafter called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r>
        <w:br w:type="page"/>
      </w:r>
    </w:p>
    <w:p>
      <w:pPr>
        <w:pStyle w:val="TextBody"/>
        <w:bidi w:val="0"/>
        <w:jc w:val="center"/>
        <w:rPr>
          <w:rFonts w:ascii="Times New Roman" w:hAnsi="Times New Roman"/>
          <w:sz w:val="20"/>
        </w:rPr>
      </w:pPr>
      <w:r>
        <w:rPr>
          <w:rFonts w:ascii="Times New Roman" w:hAnsi="Times New Roman"/>
          <w:caps/>
          <w:color w:val="000000"/>
          <w:sz w:val="24"/>
        </w:rPr>
        <w:t>Article I</w:t>
        <w:br/>
      </w:r>
      <w:r>
        <w:rPr>
          <w:rFonts w:ascii="Times New Roman" w:hAnsi="Times New Roman"/>
          <w:caps/>
          <w:color w:val="000000"/>
          <w:sz w:val="24"/>
          <w:u w:val="single"/>
        </w:rPr>
        <w:t>MEETINGS OF STOCKHOLDERS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Place of Meetings</w:t>
      </w:r>
      <w:r>
        <w:rPr>
          <w:rFonts w:ascii="Times New Roman" w:hAnsi="Times New Roman"/>
          <w:color w:val="000000"/>
          <w:sz w:val="24"/>
        </w:rPr>
        <w:t>. Meetings of the stockholders shall be held at such time and place, if any, either within or without the State of Delaware, as shall be designated from time to time by the board of directors of the Corporation (the “Board”). The Board may, in its sole discretion, determine that a meeting shall not be held at any place, but shall instead be held solely by means of remote communication in accordance with Section 211(a) of the General Corporation Law of the State of Delaware, as amended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1.2. </w:t>
      </w:r>
      <w:r>
        <w:rPr>
          <w:rFonts w:ascii="Times New Roman" w:hAnsi="Times New Roman"/>
          <w:color w:val="000000"/>
          <w:sz w:val="24"/>
          <w:u w:val="single"/>
        </w:rPr>
        <w:t>Annual Meetings</w:t>
      </w:r>
      <w:r>
        <w:rPr>
          <w:rFonts w:ascii="Times New Roman" w:hAnsi="Times New Roman"/>
          <w:color w:val="000000"/>
          <w:sz w:val="24"/>
        </w:rPr>
        <w:t>. The annual meeting of stockholders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Times New Roman" w:hAnsi="Times New Roman"/>
          <w:b/>
          <w:color w:val="000000"/>
          <w:sz w:val="24"/>
        </w:rPr>
        <w:t>Bylaws</w:t>
      </w:r>
      <w:r>
        <w:rPr>
          <w:rFonts w:ascii="Times New Roman" w:hAnsi="Times New Roman"/>
          <w:color w:val="000000"/>
          <w:sz w:val="20"/>
        </w:rPr>
        <w:t>”</w:t>
      </w:r>
      <w:r>
        <w:rPr>
          <w:rFonts w:ascii="Times New Roman" w:hAnsi="Times New Roman"/>
          <w:color w:val="000000"/>
          <w:sz w:val="24"/>
        </w:rPr>
        <w:t>) shall be held on such date and at such time as may be designated from time to time by the Board. The Board may postpone, reschedule or cancel any annual meeting of stockholders previously scheduled by the Board.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1.3. </w:t>
      </w:r>
      <w:r>
        <w:rPr>
          <w:rFonts w:ascii="Times New Roman" w:hAnsi="Times New Roman"/>
          <w:color w:val="000000"/>
          <w:sz w:val="24"/>
          <w:u w:val="single"/>
        </w:rPr>
        <w:t>Special Meetings</w:t>
      </w:r>
      <w:r>
        <w:rPr>
          <w:rFonts w:ascii="Times New Roman" w:hAnsi="Times New Roman"/>
          <w:color w:val="000000"/>
          <w:sz w:val="24"/>
        </w:rPr>
        <w:t>. Unless otherwise required by law or by the certificate of incorporation of the Corporation (including the terms of any certificate of designation with respect to any series of preferred stock), as amended and restated from time to time (the “</w:t>
      </w:r>
      <w:r>
        <w:rPr>
          <w:rFonts w:ascii="Times New Roman" w:hAnsi="Times New Roman"/>
          <w:b/>
          <w:color w:val="000000"/>
          <w:sz w:val="24"/>
        </w:rPr>
        <w:t>Certificate of Incorporation</w:t>
      </w:r>
      <w:r>
        <w:rPr>
          <w:rFonts w:ascii="Times New Roman" w:hAnsi="Times New Roman"/>
          <w:color w:val="000000"/>
          <w:sz w:val="20"/>
        </w:rPr>
        <w:t>”</w:t>
      </w:r>
      <w:r>
        <w:rPr>
          <w:rFonts w:ascii="Times New Roman" w:hAnsi="Times New Roman"/>
          <w:color w:val="000000"/>
          <w:sz w:val="24"/>
        </w:rPr>
        <w:t>), special meetings of the stockholders of the Corporation, for any purpose or purposes, may be called only by the Chairperson of the Board, the Chief Executive Officer or the Board. The ability of the stockholders to call a special meeting of stockholders is hereby specifically denied. At a special meeting of stockholders, only such business shall be conducted as shall be specified in the notice of meeting. The Board may postpone, reschedule or cancel any special meeting of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1.4. </w:t>
      </w:r>
      <w:r>
        <w:rPr>
          <w:rFonts w:ascii="Times New Roman" w:hAnsi="Times New Roman"/>
          <w:color w:val="000000"/>
          <w:sz w:val="24"/>
          <w:u w:val="single"/>
        </w:rPr>
        <w:t>Notice</w:t>
      </w:r>
      <w:r>
        <w:rPr>
          <w:rFonts w:ascii="Times New Roman" w:hAnsi="Times New Roman"/>
          <w:color w:val="000000"/>
          <w:sz w:val="24"/>
        </w:rPr>
        <w:t>. Whenever stockholders are required or permitted to take any action at a meeting, a written notice of the meeting shall be given which shall state the place, if any, date and time of the meeting, the record date for determining the stockholders entitled to vote at the meeting, if such date is different from the record date for determining stockholders entitled to notice of meeting, and the means of remote communications, if any, by which stockholders and proxy holders may be deemed present in person and vote at such meeting and, in the case of a special meeting, the purpose or purposes for which the meeting is called. Unless otherwise required by law or the Certificate of Incorporation, written notice of any meeting shall be given either personally, by mail or by electronic transmission (as defined below) (if permitted under the circumstances by the DGCL) not less than ten (10) nor more than sixty (60) days before the date of the meeting, by or at the direction of the Board, the Chairperson of the Board or the Chief Executive Officer,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at such meeting, except where the stockholder attends the meeting for the express purpose of objecting, and does so object, at the beginning of the meeting to the transaction of any business because the meeting is not lawfully called or convened. Neither the business to be transacted at, nor the purpose of, any annual or special meeting of stockholders need be specified in any waiver of notice unless so required by law. For purposes of these Bylaws, “</w:t>
      </w:r>
      <w:r>
        <w:rPr>
          <w:rFonts w:ascii="Times New Roman" w:hAnsi="Times New Roman"/>
          <w:b/>
          <w:color w:val="000000"/>
          <w:sz w:val="24"/>
        </w:rPr>
        <w:t>electronic transmission</w:t>
      </w:r>
      <w:r>
        <w:rPr>
          <w:rFonts w:ascii="Times New Roman" w:hAnsi="Times New Roman"/>
          <w:color w:val="000000"/>
          <w:sz w:val="20"/>
        </w:rPr>
        <w:t xml:space="preserve">” </w:t>
      </w:r>
      <w:r>
        <w:rPr>
          <w:rFonts w:ascii="Times New Roman" w:hAnsi="Times New Roman"/>
          <w:color w:val="000000"/>
          <w:sz w:val="24"/>
        </w:rPr>
        <w:t>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1.5. </w:t>
      </w:r>
      <w:r>
        <w:rPr>
          <w:rFonts w:ascii="Times New Roman" w:hAnsi="Times New Roman"/>
          <w:color w:val="000000"/>
          <w:sz w:val="24"/>
          <w:u w:val="single"/>
        </w:rPr>
        <w:t>Adjournments</w:t>
      </w:r>
      <w:r>
        <w:rPr>
          <w:rFonts w:ascii="Times New Roman" w:hAnsi="Times New Roman"/>
          <w:color w:val="000000"/>
          <w:sz w:val="24"/>
        </w:rPr>
        <w:t xml:space="preserve">. Any meeting of stockholders may be adjourned or recessed from time to time to reconvene at the same or some other place, if any, by holders of a majority of the voting power of the Corporation’s capital stock issued and outstanding and entitled to vote thereat, present in person or represented by proxy, though less than a quorum, or by any officer entitled to preside at or to act as secretary of such meeting, and notice need not be given of any such adjourned or recessed meeting (including an adjournment taken to address a technical failure to convene or continue a meeting using remote communication) if the time and place, if any, thereof, and the means of remote communication, if any, by which stockholders and proxy holders may be deemed to be present in person or represented by proxy and vote at such adjourned or recessed meeting, are (a) announced at the meeting at which the adjournment or recess is taken, (b) displayed during the time scheduled for the meeting, on the same electronic network used to enable stockholders and proxy holders to participate in the meeting by means of remote communication or (c) set forth in the notice of meeting given in accordance with these Bylaws. At the adjourned or recessed meeting, the Corporation may transact any business that might have been transacted at the original meeting. If the adjournment is for more than thirty (30) days, notice of the adjourned meeting in accordance with the requirements of </w:t>
      </w:r>
      <w:r>
        <w:rPr>
          <w:rFonts w:ascii="Times New Roman" w:hAnsi="Times New Roman"/>
          <w:color w:val="000000"/>
          <w:sz w:val="24"/>
          <w:u w:val="single"/>
        </w:rPr>
        <w:t>Section 1.4</w:t>
      </w:r>
      <w:r>
        <w:rPr>
          <w:rFonts w:ascii="Times New Roman" w:hAnsi="Times New Roman"/>
          <w:color w:val="000000"/>
          <w:sz w:val="20"/>
        </w:rPr>
        <w:t xml:space="preserve"> </w:t>
      </w:r>
      <w:r>
        <w:rPr>
          <w:rFonts w:ascii="Times New Roman" w:hAnsi="Times New Roman"/>
          <w:color w:val="000000"/>
          <w:sz w:val="24"/>
        </w:rPr>
        <w:t>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1.6. </w:t>
      </w:r>
      <w:r>
        <w:rPr>
          <w:rFonts w:ascii="Times New Roman" w:hAnsi="Times New Roman"/>
          <w:color w:val="000000"/>
          <w:sz w:val="24"/>
          <w:u w:val="single"/>
        </w:rPr>
        <w:t>Quorum</w:t>
      </w:r>
      <w:r>
        <w:rPr>
          <w:rFonts w:ascii="Times New Roman" w:hAnsi="Times New Roman"/>
          <w:color w:val="000000"/>
          <w:sz w:val="24"/>
        </w:rPr>
        <w:t>. Unless otherwise required by applicable law or the Certificate of Incorporation, the holders of a majority of the voting power of the Corporation’s capital stock issued and outstanding and entitled to vote thereat, present in person, present by means of remote communication (if any) or represented by proxy, shall constitute a quorum at a meeting of stockholders. Where a separate vote by a class or classes or series is required, a majority of the voting power of the shares of such class or classes or series present in person, present by means of remote communication (if any) or represented by proxy shall constitute a quorum entitled to take action with respect to such vote. If a quorum shall not be present or represented at any meeting of stockholders, either the chairperson of the meeting or the stockholders entitled to vote thereat, present in person or represented by proxy, shall have power to adjourn the meeting from time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time, in the manner provided in </w:t>
      </w:r>
      <w:r>
        <w:rPr>
          <w:rFonts w:ascii="Times New Roman" w:hAnsi="Times New Roman"/>
          <w:color w:val="000000"/>
          <w:sz w:val="24"/>
          <w:u w:val="single"/>
        </w:rPr>
        <w:t>Section 1.5</w:t>
      </w:r>
      <w:r>
        <w:rPr>
          <w:rFonts w:ascii="Times New Roman" w:hAnsi="Times New Roman"/>
          <w:color w:val="000000"/>
          <w:sz w:val="20"/>
        </w:rPr>
        <w:t xml:space="preserve"> </w:t>
      </w:r>
      <w:r>
        <w:rPr>
          <w:rFonts w:ascii="Times New Roman" w:hAnsi="Times New Roman"/>
          <w:color w:val="000000"/>
          <w:sz w:val="24"/>
        </w:rPr>
        <w:t>of these Bylaws, until a quorum shall be present or represented. A quorum, once established, shall not be broken by the withdrawal of enough votes to leave less than a quorum.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1.7. </w:t>
      </w:r>
      <w:r>
        <w:rPr>
          <w:rFonts w:ascii="Times New Roman" w:hAnsi="Times New Roman"/>
          <w:color w:val="000000"/>
          <w:sz w:val="24"/>
          <w:u w:val="single"/>
        </w:rPr>
        <w:t>Voting</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Matters Other Than Election of Directors</w:t>
      </w:r>
      <w:r>
        <w:rPr>
          <w:rFonts w:ascii="Times New Roman" w:hAnsi="Times New Roman"/>
          <w:color w:val="000000"/>
          <w:sz w:val="24"/>
        </w:rPr>
        <w:t xml:space="preserve">. Any matter brought before any meeting of stockholders, other than the election of directors, shall be decided by the affirmative vote of the holders of a majority of the voting power of the Corporation’s capital stock present in person, present by means of remote communication (if any)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Except as provided in the Certificate of Incorporation, every stockholder having the right to vote shall have one vote for each share of stock having voting power registered in such stockholder’s name on the books of the Corporation. Such votes may be cast in person, by means of remote communication (if any) or by proxy as provided in </w:t>
      </w:r>
      <w:r>
        <w:rPr>
          <w:rFonts w:ascii="Times New Roman" w:hAnsi="Times New Roman"/>
          <w:color w:val="000000"/>
          <w:sz w:val="24"/>
          <w:u w:val="single"/>
        </w:rPr>
        <w:t>Section 1.10</w:t>
      </w:r>
      <w:r>
        <w:rPr>
          <w:rFonts w:ascii="Times New Roman" w:hAnsi="Times New Roman"/>
          <w:color w:val="000000"/>
          <w:sz w:val="20"/>
        </w:rPr>
        <w:t xml:space="preserve"> </w:t>
      </w:r>
      <w:r>
        <w:rPr>
          <w:rFonts w:ascii="Times New Roman" w:hAnsi="Times New Roman"/>
          <w:color w:val="000000"/>
          <w:sz w:val="24"/>
        </w:rPr>
        <w:t>of these Bylaws. The Board, in its discretion, or the director or officer of the Corporation presiding at a meeting of stockholders, in such person’s discretion, may require that any votes cast at such meeting shall be cast by written ballot.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Election of Directors</w:t>
      </w:r>
      <w:r>
        <w:rPr>
          <w:rFonts w:ascii="Times New Roman" w:hAnsi="Times New Roman"/>
          <w:color w:val="000000"/>
          <w:sz w:val="24"/>
        </w:rPr>
        <w:t xml:space="preserve">. Except as provided in Section 5.4 of the Certificate of Incorporation, directors shall be elected by the vote of the majority of the votes cast (meaning the number of shares voted “for” a nominee must exceed the number of shares voted “against” such nominee) with “abstentions” and “broker non-votes” not counted as a vote cast either “for” or “against” that nominee’s election at any meeting for the election of directors at which a quorum is present;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a Contested Election of Directors (as defined below) at such a meeting, directors shall be elected by a plurality of the votes cast on the election of directors (instead of by votes cast “for” or “against” a nominee). The term “</w:t>
      </w:r>
      <w:r>
        <w:rPr>
          <w:rFonts w:ascii="Times New Roman" w:hAnsi="Times New Roman"/>
          <w:b/>
          <w:color w:val="000000"/>
          <w:sz w:val="24"/>
        </w:rPr>
        <w:t>Contested Election of Directors</w:t>
      </w:r>
      <w:r>
        <w:rPr>
          <w:rFonts w:ascii="Times New Roman" w:hAnsi="Times New Roman"/>
          <w:color w:val="000000"/>
          <w:sz w:val="20"/>
        </w:rPr>
        <w:t xml:space="preserve">” </w:t>
      </w:r>
      <w:r>
        <w:rPr>
          <w:rFonts w:ascii="Times New Roman" w:hAnsi="Times New Roman"/>
          <w:color w:val="000000"/>
          <w:sz w:val="24"/>
        </w:rPr>
        <w:t>shall mean an annual or special meeting of the Corporation with respect to which (i) the secretary of the Corporation (the “</w:t>
      </w:r>
      <w:r>
        <w:rPr>
          <w:rFonts w:ascii="Times New Roman" w:hAnsi="Times New Roman"/>
          <w:b/>
          <w:color w:val="000000"/>
          <w:sz w:val="24"/>
        </w:rPr>
        <w:t>Secretary</w:t>
      </w:r>
      <w:r>
        <w:rPr>
          <w:rFonts w:ascii="Times New Roman" w:hAnsi="Times New Roman"/>
          <w:color w:val="000000"/>
          <w:sz w:val="20"/>
        </w:rPr>
        <w:t>”</w:t>
      </w:r>
      <w:r>
        <w:rPr>
          <w:rFonts w:ascii="Times New Roman" w:hAnsi="Times New Roman"/>
          <w:color w:val="000000"/>
          <w:sz w:val="24"/>
        </w:rPr>
        <w:t xml:space="preserve">) receives a notice that a stockholder has nominated or intends to nominate a person for election to the Board in compliance with the requirements for stockholder nominees for director set forth in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of these Bylaws and (ii) such nomination has not been withdrawn by such stockholder on or prior to the tenth (10th) day before the Corporation first mails its notice of meeting for such meeting to the stockholders. Stockholders shall be entitled to cast votes “against” nominees for director unless plurality voting applies in the election of directors. If, with respect to an election of directors not constituting a Contested Election of Directors and for which a quorum is present, any incumbent director does not receive a majority of the votes cast, such director shall promptly tender a resignation following certification of the stockholder vote. Such resignation will be effective only upon the acceptance thereof by the Board. Such director shall continue in office until such resignation is accepted or, if not accepted, such director’s successor shall have been elected and qualified. The Nominating, and Governance Committee (the “</w:t>
      </w:r>
      <w:r>
        <w:rPr>
          <w:rFonts w:ascii="Times New Roman" w:hAnsi="Times New Roman"/>
          <w:b/>
          <w:color w:val="000000"/>
          <w:sz w:val="24"/>
        </w:rPr>
        <w:t>Nominating Committee</w:t>
      </w:r>
      <w:r>
        <w:rPr>
          <w:rFonts w:ascii="Times New Roman" w:hAnsi="Times New Roman"/>
          <w:color w:val="000000"/>
          <w:sz w:val="20"/>
        </w:rPr>
        <w:t>”</w:t>
      </w:r>
      <w:r>
        <w:rPr>
          <w:rFonts w:ascii="Times New Roman" w:hAnsi="Times New Roman"/>
          <w:color w:val="000000"/>
          <w:sz w:val="24"/>
        </w:rPr>
        <w:t>) shall promptly consider the tendered resignation, and a range of possible responses based on the circumstances, if known, that led to the election results, and make a recommendation to the Board on whether to accept or reject the resignation or whether any other action should be taken with respect thereto. The Board will act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on any such recommendation by the Nominating Committee within 90 days following certification of the stockholder vote and will promptly publicly disclose its decision and the rationale behind it in a filing with the Securities and Exchange Commission. Any director who tenders a resignation pursuant to this provision shall not participate in the Nominating Committee or Board recommendation or deliberations regarding whether to accept the resignation offer or take other action. If directors who have tendered resignations constitute a majority of the directors then in office, then, with respect to each tendered resignation, all directors, other than the director who tendered the particular resignation under consideration, may participate in the deliberations and action regarding whether to accept or reject the tendered resignation or to take other action with respect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1.8. </w:t>
      </w:r>
      <w:r>
        <w:rPr>
          <w:rFonts w:ascii="Times New Roman" w:hAnsi="Times New Roman"/>
          <w:color w:val="000000"/>
          <w:sz w:val="24"/>
          <w:u w:val="single"/>
        </w:rPr>
        <w:t>Voting of Stock of Certain Holders</w:t>
      </w:r>
      <w:r>
        <w:rPr>
          <w:rFonts w:ascii="Times New Roman" w:hAnsi="Times New Roman"/>
          <w:color w:val="000000"/>
          <w:sz w:val="24"/>
        </w:rPr>
        <w:t>. Shares of stock of the Corporation standing in the name of another corporation or entity, domestic or foreign, and entitled to vote may be voted by such officer, agent or proxy 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1.9. </w:t>
      </w:r>
      <w:r>
        <w:rPr>
          <w:rFonts w:ascii="Times New Roman" w:hAnsi="Times New Roman"/>
          <w:color w:val="000000"/>
          <w:sz w:val="24"/>
          <w:u w:val="single"/>
        </w:rPr>
        <w:t>Treasury Stock</w:t>
      </w:r>
      <w:r>
        <w:rPr>
          <w:rFonts w:ascii="Times New Roman" w:hAnsi="Times New Roman"/>
          <w:color w:val="000000"/>
          <w:sz w:val="24"/>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Times New Roman" w:hAnsi="Times New Roman"/>
          <w:color w:val="000000"/>
          <w:sz w:val="24"/>
          <w:u w:val="single"/>
        </w:rPr>
        <w:t>Section 1.9</w:t>
      </w:r>
      <w:r>
        <w:rPr>
          <w:rFonts w:ascii="Times New Roman" w:hAnsi="Times New Roman"/>
          <w:color w:val="000000"/>
          <w:sz w:val="20"/>
        </w:rPr>
        <w:t xml:space="preserve"> </w:t>
      </w:r>
      <w:r>
        <w:rPr>
          <w:rFonts w:ascii="Times New Roman" w:hAnsi="Times New Roman"/>
          <w:color w:val="000000"/>
          <w:sz w:val="24"/>
        </w:rPr>
        <w:t>shall limit the right of the Corporation to vote shares of stock of the Corporation held by it in a fiduciary capacity.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1.10. </w:t>
      </w:r>
      <w:r>
        <w:rPr>
          <w:rFonts w:ascii="Times New Roman" w:hAnsi="Times New Roman"/>
          <w:color w:val="000000"/>
          <w:sz w:val="24"/>
          <w:u w:val="single"/>
        </w:rPr>
        <w:t>Proxies</w:t>
      </w:r>
      <w:r>
        <w:rPr>
          <w:rFonts w:ascii="Times New Roman" w:hAnsi="Times New Roman"/>
          <w:color w:val="000000"/>
          <w:sz w:val="24"/>
        </w:rPr>
        <w:t>. Each stockholder entitled to vote at a meeting of stockholders may authorize another person or persons to act for such stockholder by proxy filed with the Secretary before or at the time of the meeting. No such proxy shall be voted or acted upon after eleven (11) months from its date, unless the proxy provides for a longer period. A duly executed proxy shall be irrevocable if it states that it is irrevocable and if, and only as long as, it is coupled with an interest sufficient in law to support an irrevocable power. Any stockholder directly or indirectly soliciting proxies from other stockholders may use any proxy card color other than white, which shall be reserved for exclusive use by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1.11. </w:t>
      </w:r>
      <w:r>
        <w:rPr>
          <w:rFonts w:ascii="Times New Roman" w:hAnsi="Times New Roman"/>
          <w:color w:val="000000"/>
          <w:sz w:val="24"/>
          <w:u w:val="single"/>
        </w:rPr>
        <w:t>No Consent of Stockholders in Lieu of Meeting</w:t>
      </w:r>
      <w:r>
        <w:rPr>
          <w:rFonts w:ascii="Times New Roman" w:hAnsi="Times New Roman"/>
          <w:color w:val="000000"/>
          <w:sz w:val="24"/>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stockholders of the Corporation, and, as specified by the Certificate of Incorporation, the ability of the stockholders to consent in writing to the taking of any action is specifically denied.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1.12. </w:t>
      </w:r>
      <w:r>
        <w:rPr>
          <w:rFonts w:ascii="Times New Roman" w:hAnsi="Times New Roman"/>
          <w:color w:val="000000"/>
          <w:sz w:val="24"/>
          <w:u w:val="single"/>
        </w:rPr>
        <w:t>List of Stockholders Entitled to Vote</w:t>
      </w:r>
      <w:r>
        <w:rPr>
          <w:rFonts w:ascii="Times New Roman" w:hAnsi="Times New Roman"/>
          <w:color w:val="000000"/>
          <w:sz w:val="24"/>
        </w:rPr>
        <w:t>. The officer of the Corporation who has charge of the stock ledger of the Corporation shall prepare and make or have prepared and made, at least ten (10) days before every meeting of stockholders of the Corporation, a complete list of the stockholders entitled to vote at the meeting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record date for determining the stockholders entitled to vote is less than ten (10) days before the meeting date, the list shall reflect the stockholders entitled to vote as of the tenth (10</w:t>
      </w:r>
      <w:r>
        <w:rPr>
          <w:rFonts w:ascii="Times New Roman" w:hAnsi="Times New Roman"/>
          <w:color w:val="000000"/>
          <w:sz w:val="16"/>
        </w:rPr>
        <w:t>th</w:t>
      </w:r>
      <w:r>
        <w:rPr>
          <w:rFonts w:ascii="Times New Roman" w:hAnsi="Times New Roman"/>
          <w:color w:val="000000"/>
          <w:sz w:val="24"/>
        </w:rPr>
        <w:t xml:space="preserve">) day before the meeting date), arranged in alphabetical order, and showing the address of each stockholder and the number of shares registered in the name of each stockholder. Nothing in this </w:t>
      </w:r>
      <w:r>
        <w:rPr>
          <w:rFonts w:ascii="Times New Roman" w:hAnsi="Times New Roman"/>
          <w:color w:val="000000"/>
          <w:sz w:val="24"/>
          <w:u w:val="single"/>
        </w:rPr>
        <w:t>Section 1.12</w:t>
      </w:r>
      <w:r>
        <w:rPr>
          <w:rFonts w:ascii="Times New Roman" w:hAnsi="Times New Roman"/>
          <w:color w:val="000000"/>
          <w:sz w:val="20"/>
        </w:rPr>
        <w:t xml:space="preserve"> </w:t>
      </w:r>
      <w:r>
        <w:rPr>
          <w:rFonts w:ascii="Times New Roman" w:hAnsi="Times New Roman"/>
          <w:color w:val="000000"/>
          <w:sz w:val="24"/>
        </w:rPr>
        <w:t>shall require the Corporation to include electronic mail addresses or other electronic contact information on such list. Such list shall be open to the examination of any stockholder for any purpose germane to the meeting for a period of at least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1.13. </w:t>
      </w:r>
      <w:r>
        <w:rPr>
          <w:rFonts w:ascii="Times New Roman" w:hAnsi="Times New Roman"/>
          <w:color w:val="000000"/>
          <w:sz w:val="24"/>
          <w:u w:val="single"/>
        </w:rPr>
        <w:t>Record Date</w:t>
      </w:r>
      <w:r>
        <w:rPr>
          <w:rFonts w:ascii="Times New Roman" w:hAnsi="Times New Roman"/>
          <w:color w:val="000000"/>
          <w:sz w:val="24"/>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hAnsi="Times New Roman"/>
          <w:color w:val="000000"/>
          <w:sz w:val="24"/>
          <w:u w:val="single"/>
        </w:rPr>
        <w:t>Section 1.13</w:t>
      </w:r>
      <w:r>
        <w:rPr>
          <w:rFonts w:ascii="Times New Roman" w:hAnsi="Times New Roman"/>
          <w:color w:val="000000"/>
          <w:sz w:val="20"/>
        </w:rPr>
        <w:t xml:space="preserve"> </w:t>
      </w:r>
      <w:r>
        <w:rPr>
          <w:rFonts w:ascii="Times New Roman" w:hAnsi="Times New Roman"/>
          <w:color w:val="000000"/>
          <w:sz w:val="24"/>
        </w:rPr>
        <w:t>at the adjourned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1.14. </w:t>
      </w:r>
      <w:r>
        <w:rPr>
          <w:rFonts w:ascii="Times New Roman" w:hAnsi="Times New Roman"/>
          <w:color w:val="000000"/>
          <w:sz w:val="24"/>
          <w:u w:val="single"/>
        </w:rPr>
        <w:t>Organization and Conduct of Meetings</w:t>
      </w:r>
      <w:r>
        <w:rPr>
          <w:rFonts w:ascii="Times New Roman" w:hAnsi="Times New Roman"/>
          <w:color w:val="000000"/>
          <w:sz w:val="24"/>
        </w:rPr>
        <w:t>. The Chairperson of the Board shall act as chairperson of meetings of stockholders. The Board may designate any officer or director of the Corporation to act as chairperson of any meeting in the absence of the Chairperson of the Board, and only the Board may further provide for determining who shall act as chairperson of any stockholders meeting in the absence of the Chairperson of the Board and such designee. The Board may adopt by resolution such rules, regulations and procedures for the conduct of any meeting of stockholders as it shall deem appropriate. Except to the extent inconsistent with such rules, regulations and procedures as adopted by the Board, the chairperson of any meeting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stockholders shall have the right and authority to convene and (for any or no reason) to recess or adjourn the meeting, to prescribe such rules, regulations and procedures and to do all such acts as, in the judgment of such chairperson, are necessary, appropriate or convenient for the proper conduct of the meeting. Such rules, regulations or procedures, whether adopted by the Board or prescribed by the chairperson of the meeting, may include the following: (a) the establishment of an agenda or order of business for the meeting; (b) the determination of when the polls shall open and close for any given matter to be voted on at the meeting; (c) rules, regulations and procedures for maintaining order at the meeting and the safety of those present; (d) limitations on attendance at or participation in the meeting to stockholders of record of the Corporation, their duly authorized proxies or such other persons as the chairperson of the meeting shall determine; (e) restrictions on entry to the meeting after the time fixed for the commencement thereof; (f) limitations on the time allotted to questions or comments by participants; (g) removal of any stockholder or any other individual who refuses to comply with meeting rules, regulations or procedures; (h) the conclusion, recess or adjournment of the meeting, regardless of whether a quorum is present, to a later date and time and at a place, if any, announced at the meeting; (i) restrictions on the use of audio and video recording devices, cell phones and other electronic devices; (j) rules, regulations or procedures for compliance with any state or local laws or regulations including those concerning safety, health and security; (k) procedures (if any) requiring attendees to provide the Corporation advance notice of their intent to attend the meeting and (l) any rules, regulations or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Except to the extent determined by the Board or the person presiding at the meeting, meetings of stockholders shall not be required to be held in accordance with the rules of parliamentary procedure.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1.15. </w:t>
      </w:r>
      <w:r>
        <w:rPr>
          <w:rFonts w:ascii="Times New Roman" w:hAnsi="Times New Roman"/>
          <w:color w:val="000000"/>
          <w:sz w:val="24"/>
          <w:u w:val="single"/>
        </w:rPr>
        <w:t>Inspectors of Election</w:t>
      </w:r>
      <w:r>
        <w:rPr>
          <w:rFonts w:ascii="Times New Roman" w:hAnsi="Times New Roman"/>
          <w:color w:val="000000"/>
          <w:sz w:val="24"/>
        </w:rPr>
        <w:t>. In advance of any meeting of stockholders, the Board, by resolution, the Chairperson of the Board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1.16. </w:t>
      </w:r>
      <w:r>
        <w:rPr>
          <w:rFonts w:ascii="Times New Roman" w:hAnsi="Times New Roman"/>
          <w:color w:val="000000"/>
          <w:sz w:val="24"/>
          <w:u w:val="single"/>
        </w:rPr>
        <w:t>Notice of Stockholder Proposals and Director Nominations.</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Annual Meetings of Stockholders</w:t>
      </w:r>
      <w:r>
        <w:rPr>
          <w:rFonts w:ascii="Times New Roman" w:hAnsi="Times New Roman"/>
          <w:color w:val="000000"/>
          <w:sz w:val="24"/>
        </w:rPr>
        <w:t>. Nominations of persons for election to the Board and the proposal of business other than nominations to be considered by the stockholders may be made at an annual meeting of stockholders only: (i) pursuant to the Corporation’s notice of meeting (or any supplement thereto) with respect to such annual meeting given by or at the direction of the Board (or any duly authorized committee thereof), (ii) as otherwise properly brought before such annual meeting by or at the direction of the Board (or any duly authorized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committee thereof), (iii) by any stockholder of the Corporation who (A) is a stockholder of record at the time of the giving of the notice provided for in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through the date of such annual meeting, (B) is entitled to vote at such annual meeting and (C) complies with the notice procedures set forth in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or (iv) by an eligible stockholder with respect to the nomination of a director for election pursuant to and in compliance with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of these Bylaws. For the avoidance of doubt, compliance with the foregoing clause (iii) or (iv) shall be the exclusive means for a stockholder to make nominations, and compliance with the foregoing clause (iii) shall be the exclusive means for a stockholder to propose any other business (other than a proposal included in the Corporation’s proxy materials pursuant to and in compliance with Rule 14a-8 under the Securities Exchange Act of 1934, as amended (such act, and the rules and regulations promulgated thereunder,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at an annual meeting of stockholders.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Timing of Notice for Annual Meetings</w:t>
      </w:r>
      <w:r>
        <w:rPr>
          <w:rFonts w:ascii="Times New Roman" w:hAnsi="Times New Roman"/>
          <w:color w:val="000000"/>
          <w:sz w:val="24"/>
        </w:rPr>
        <w:t xml:space="preserve">. In addition to any other applicable requirements, for nominations or other business to be properly brought before an annual meeting by a stockholder pursuant to </w:t>
      </w:r>
      <w:r>
        <w:rPr>
          <w:rFonts w:ascii="Times New Roman" w:hAnsi="Times New Roman"/>
          <w:color w:val="000000"/>
          <w:sz w:val="24"/>
          <w:u w:val="single"/>
        </w:rPr>
        <w:t>Section 1.16(a)(iii)</w:t>
      </w:r>
      <w:r>
        <w:rPr>
          <w:rFonts w:ascii="Times New Roman" w:hAnsi="Times New Roman"/>
          <w:color w:val="000000"/>
          <w:sz w:val="20"/>
        </w:rPr>
        <w:t xml:space="preserve"> </w:t>
      </w:r>
      <w:r>
        <w:rPr>
          <w:rFonts w:ascii="Times New Roman" w:hAnsi="Times New Roman"/>
          <w:color w:val="000000"/>
          <w:sz w:val="24"/>
        </w:rPr>
        <w:t xml:space="preserve">above, the stockholder must have given timely notice thereof in proper written form to the Secretary, and, in the case of business other than nominations, such business must be a proper matter for stockholder action. To be timely, such notice must be received by the Secretary at the principal executive offices of the Corporation not later than the Close of Business (as defined below) on the ninetieth (90th) day, or earlier than the one hundred twentieth (120th) day, prior to the first anniversary of the date of the preceding year’s annual meeting of stockholders;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date of the annual meeting of stockholders is more than thirty (30) days prior to, or more than sixty (60) days after, the first anniversary of the date of the preceding year’s annual meeting or if no annual meeting was held in the preceding year, to be timely, a stockholder’s notice must be so received not earlier than the one hundred twentieth (120th) day prior to such annual meeting and not later than the Close of Business on the later of (i) the ninetieth (90th) day prior to such annual meeting and (ii) the tenth (10th) day following the day on which public disclosure (as defined below) of the date of the meeting is first made by the Corporation. In no event shall the adjournment, recess, postponement, judicial stay or rescheduling of an annual meeting (or the public disclosure thereof) commence a new time period (or extend any time period) for the giving of notice as described above.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Form of Notice</w:t>
      </w:r>
      <w:r>
        <w:rPr>
          <w:rFonts w:ascii="Times New Roman" w:hAnsi="Times New Roman"/>
          <w:color w:val="000000"/>
          <w:sz w:val="24"/>
        </w:rPr>
        <w:t xml:space="preserve">. To be in proper written form, the notice of any stockholder of record giving notice under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(each, a “</w:t>
      </w:r>
      <w:r>
        <w:rPr>
          <w:rFonts w:ascii="Times New Roman" w:hAnsi="Times New Roman"/>
          <w:b/>
          <w:color w:val="000000"/>
          <w:sz w:val="24"/>
        </w:rPr>
        <w:t>Noticing Party</w:t>
      </w:r>
      <w:r>
        <w:rPr>
          <w:rFonts w:ascii="Times New Roman" w:hAnsi="Times New Roman"/>
          <w:color w:val="000000"/>
          <w:sz w:val="20"/>
        </w:rPr>
        <w:t>”</w:t>
      </w:r>
      <w:r>
        <w:rPr>
          <w:rFonts w:ascii="Times New Roman" w:hAnsi="Times New Roman"/>
          <w:color w:val="000000"/>
          <w:sz w:val="24"/>
        </w:rPr>
        <w:t>) must set forth:</w:t>
      </w:r>
    </w:p>
    <w:p>
      <w:pPr>
        <w:pStyle w:val="TextBody"/>
        <w:bidi w:val="0"/>
        <w:spacing w:before="180" w:after="283"/>
        <w:jc w:val="both"/>
        <w:rPr>
          <w:rFonts w:ascii="Times New Roman" w:hAnsi="Times New Roman"/>
          <w:sz w:val="20"/>
        </w:rPr>
      </w:pPr>
      <w:r>
        <w:rPr>
          <w:rFonts w:ascii="Times New Roman" w:hAnsi="Times New Roman"/>
          <w:color w:val="000000"/>
          <w:sz w:val="24"/>
        </w:rPr>
        <w:t>(i) as to each person whom such Noticing Party proposes to nominate for election or reelection as a director (each, a “</w:t>
      </w:r>
      <w:r>
        <w:rPr>
          <w:rFonts w:ascii="Times New Roman" w:hAnsi="Times New Roman"/>
          <w:b/>
          <w:color w:val="000000"/>
          <w:sz w:val="24"/>
        </w:rPr>
        <w:t>Proposed Nominee</w:t>
      </w:r>
      <w:r>
        <w:rPr>
          <w:rFonts w:ascii="Times New Roman" w:hAnsi="Times New Roman"/>
          <w:color w:val="000000"/>
          <w:sz w:val="20"/>
        </w:rPr>
        <w:t>”</w:t>
      </w:r>
      <w:r>
        <w:rPr>
          <w:rFonts w:ascii="Times New Roman" w:hAnsi="Times New Roman"/>
          <w:color w:val="000000"/>
          <w:sz w:val="24"/>
        </w:rPr>
        <w:t>), if any: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(A) the name, age, business address and residential address of such Proposed Nominee;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(B) the principal occupation and employment of such Proposed Nominee;</w:t>
      </w:r>
    </w:p>
    <w:p>
      <w:pPr>
        <w:pStyle w:val="TextBody"/>
        <w:bidi w:val="0"/>
        <w:spacing w:before="180" w:after="283"/>
        <w:jc w:val="both"/>
        <w:rPr>
          <w:rFonts w:ascii="Times New Roman" w:hAnsi="Times New Roman"/>
          <w:sz w:val="20"/>
        </w:rPr>
      </w:pPr>
      <w:r>
        <w:rPr>
          <w:rFonts w:ascii="Times New Roman" w:hAnsi="Times New Roman"/>
          <w:color w:val="000000"/>
          <w:sz w:val="24"/>
        </w:rPr>
        <w:t>(C) a written questionnaire with respect to the background and qualifications of such Proposed Nominee, completed by such Proposed Nominee in the form required by the Corporation (which form such Noticing Party shall request in writing from the Secretary prior to submitting notice and which the Secretary shall provide to such Noticing Party within ten (10) days after receiving such request);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(D) a written representation and agreement completed by such Proposed Nominee in the form required by the Corporation (which form such Noticing Party shall request in writing from the Secretary prior to submitting notice and which the Secretary shall provide to such Noticing Party within ten (10) days after receiving such request) providing that such Proposed Nominee: (I) is not and will not become a party to any agreement, arrangement or understanding with, and has not given any Voting Commitment (as defined in </w:t>
      </w:r>
      <w:r>
        <w:rPr>
          <w:rFonts w:ascii="Times New Roman" w:hAnsi="Times New Roman"/>
          <w:color w:val="000000"/>
          <w:sz w:val="24"/>
          <w:u w:val="single"/>
        </w:rPr>
        <w:t>Section 1.18(f)(vii)</w:t>
      </w:r>
      <w:r>
        <w:rPr>
          <w:rFonts w:ascii="Times New Roman" w:hAnsi="Times New Roman"/>
          <w:color w:val="000000"/>
          <w:sz w:val="20"/>
        </w:rPr>
        <w:t xml:space="preserve"> </w:t>
      </w:r>
      <w:r>
        <w:rPr>
          <w:rFonts w:ascii="Times New Roman" w:hAnsi="Times New Roman"/>
          <w:color w:val="000000"/>
          <w:sz w:val="24"/>
        </w:rPr>
        <w:t xml:space="preserve">but with “Proposed Nominee” replacing each use of the term “Stockholder Nominee”)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(III) will, if elected as a director of the Corporation, comply with all applicable rules of any securities exchanges upon which the Corporation’s securities are listed, the Certificate of Incorporation, these Bylaws, all applicable publicly disclosed corporate governance, ethics, conflict of interest, confidentiality, stock ownership and trading policies and all other guidelines and policies of the Corporation generally applicable to directors (which other guidelines and policies will be provided to such Proposed Nominee within five (5) business days after the Secretary receives any written request therefor from such Proposed Nominee), and all applicable fiduciary duties under state law; (IV) consents to being named as a nominee in the Corporation’s proxy statement and form of proxy for the meeting; (V) intends to serve a full term as a director of the Corporation, if elected; (VI) will provide facts, statements and other information in all communications with the Corporation and its stockholders that are or will be true and correct and that do not and will not omit to state any fact necessary in order to make the statements made, in light of the circumstances under which they are made, not misleading; and (VII) will tender his or her resignation as a director of the Corporation if the Board determines that such Proposed Nominee failed to comply with the provisions of this </w:t>
      </w:r>
      <w:r>
        <w:rPr>
          <w:rFonts w:ascii="Times New Roman" w:hAnsi="Times New Roman"/>
          <w:color w:val="000000"/>
          <w:sz w:val="24"/>
          <w:u w:val="single"/>
        </w:rPr>
        <w:t>Section 1.16(c)(i)(D)</w:t>
      </w:r>
      <w:r>
        <w:rPr>
          <w:rFonts w:ascii="Times New Roman" w:hAnsi="Times New Roman"/>
          <w:color w:val="000000"/>
          <w:sz w:val="20"/>
        </w:rPr>
        <w:t xml:space="preserve"> </w:t>
      </w:r>
      <w:r>
        <w:rPr>
          <w:rFonts w:ascii="Times New Roman" w:hAnsi="Times New Roman"/>
          <w:color w:val="000000"/>
          <w:sz w:val="24"/>
        </w:rPr>
        <w:t>in any material respect, provides such Proposed Nominee notice of any such determination and, if such non-compliance may be cured, such Proposed Nominee fails to cure such non-compliance within ten (10) business days after delivery of such notice to such Proposed Nominee;</w:t>
      </w:r>
      <w:r>
        <w:rPr>
          <w:rFonts w:ascii="Times New Roman" w:hAnsi="Times New Roman"/>
          <w:color w:val="000000"/>
          <w:sz w:val="20"/>
        </w:rPr>
        <w:t xml:space="preserve"> </w:t>
      </w:r>
    </w:p>
    <w:p>
      <w:pPr>
        <w:pStyle w:val="TextBody"/>
        <w:bidi w:val="0"/>
        <w:jc w:val="both"/>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4"/>
        </w:rPr>
        <w:t>(E) a description of all direct and indirect compensation and other material monetary agreements, arrangements or understandings, written or oral, during the past three (3) years, and any other material relationships, between or among such Proposed Nominee or any of such Proposed Nominee’s affiliates or associates (each as defined below), on the one hand, and any Noticing Party or any Stockholder Associated Person (as defined below), on the other hand, including all information that would be required to be disclosed pursuant to Item 404 promulgated under Regulation S-K as if such Noticing Party and any Stockholder Associated Person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were the “registrant” for purposes of such rule and the Proposed Nominee were a director or executive officer of such registrant;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(F) a description of any business or personal interests that could reasonably be expected to place such Proposed Nominee in a potential conflict of interest with the Corporation or any of its subsidiaries; and</w:t>
      </w:r>
    </w:p>
    <w:p>
      <w:pPr>
        <w:pStyle w:val="TextBody"/>
        <w:bidi w:val="0"/>
        <w:spacing w:before="180" w:after="283"/>
        <w:jc w:val="both"/>
        <w:rPr>
          <w:rFonts w:ascii="Times New Roman" w:hAnsi="Times New Roman"/>
          <w:sz w:val="20"/>
        </w:rPr>
      </w:pPr>
      <w:r>
        <w:rPr>
          <w:rFonts w:ascii="Times New Roman" w:hAnsi="Times New Roman"/>
          <w:color w:val="000000"/>
          <w:sz w:val="24"/>
        </w:rPr>
        <w:t>(G) all other information relating to such Proposed Nominee or such Proposed Nominee’s associates that would be required to be disclosed in a proxy statement or other filing required to be made by such Noticing Party or any Stockholder Associated Person in connection with the solicitation of proxies for the election of directors in a contested election or otherwise required pursuant to Section 14 of the Exchange Act and the rules and regulations promulgated thereunder (the Exchange Act and such rules and regulations, collectively, the “</w:t>
      </w:r>
      <w:r>
        <w:rPr>
          <w:rFonts w:ascii="Times New Roman" w:hAnsi="Times New Roman"/>
          <w:b/>
          <w:color w:val="000000"/>
          <w:sz w:val="24"/>
        </w:rPr>
        <w:t>Proxy Rules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(ii) as to any other business that such Noticing Party proposes to bring before the meeting:</w:t>
      </w:r>
    </w:p>
    <w:p>
      <w:pPr>
        <w:pStyle w:val="TextBody"/>
        <w:bidi w:val="0"/>
        <w:spacing w:before="180" w:after="283"/>
        <w:jc w:val="both"/>
        <w:rPr>
          <w:rFonts w:ascii="Times New Roman" w:hAnsi="Times New Roman"/>
          <w:sz w:val="20"/>
        </w:rPr>
      </w:pPr>
      <w:r>
        <w:rPr>
          <w:rFonts w:ascii="Times New Roman" w:hAnsi="Times New Roman"/>
          <w:color w:val="000000"/>
          <w:sz w:val="24"/>
        </w:rPr>
        <w:t>(A) a reasonably brief description of the business desired to be brought before the meeting and the reasons for conducting such business at the meeting;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(B) the text of the proposal or business (including the complete text of any resolutions proposed for consideration and, in the event that such business includes a proposal to amend the Certificate of Incorporation or these Bylaws, the text of the proposed amendment); and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(C) all other information relating to such business that would be required to be disclosed in a proxy statement or other filing required to be made by such Noticing Party or any Stockholder Associated Person in connection with the solicitation of proxies in support of such proposed business by such Noticing Party or any Stockholder Associated Person pursuant to the Proxy Rules; and</w:t>
      </w:r>
    </w:p>
    <w:p>
      <w:pPr>
        <w:pStyle w:val="TextBody"/>
        <w:bidi w:val="0"/>
        <w:spacing w:before="180" w:after="283"/>
        <w:jc w:val="both"/>
        <w:rPr>
          <w:rFonts w:ascii="Times New Roman" w:hAnsi="Times New Roman"/>
          <w:sz w:val="20"/>
        </w:rPr>
      </w:pPr>
      <w:r>
        <w:rPr>
          <w:rFonts w:ascii="Times New Roman" w:hAnsi="Times New Roman"/>
          <w:color w:val="000000"/>
          <w:sz w:val="24"/>
        </w:rPr>
        <w:t>(iii) as to such Noticing Party and each Stockholder Associated Person: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(A) the name and address of such Noticing Party and each Stockholder Associated Person (including, as applicable, as they appear on the Corporation’s books and records);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(B) the class, series and number of shares of each class or series of capital stock (if any) of the Corporation that are, directly or indirectly, owned beneficially or of record (specifying the type of ownership) by such Noticing Party or any Stockholder Associated Person (including any rights to acquire beneficial ownership at any time in the future, whether such right is exercisable immediately or only after the passage of time or the fulfillment of a condition), the date or dates on which such shares were acquired, and the investment intent of such acquisition;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(C) the name of each nominee holder for, and number of, any securities of the Corporation owned beneficially but not of record by such Noticing Party or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Stockholder Associated Person and any pledge by such Noticing Party or any Stockholder Associated Person with respect to any of such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(D) a complete and accurate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Noticing Party or any Stockholder Associated Person, the effect or intent of which is to mitigate loss, manage risk or benefit from changes in the price of any securities of the Corporation, or maintain, increase or decrease the voting power of such Noticing Party or any Stockholder Associated Person with respect to securities of the Corporation, whether or not such instrument or right shall be subject to settlement in underlying shares of capital stock of the Corporation and without regard to whether such agreement, arrangement or understanding is required to be reported on a Schedule 13D, 13F or 13G in accordance with the Exchange Act (any of the foregoing, a “</w:t>
      </w:r>
      <w:r>
        <w:rPr>
          <w:rFonts w:ascii="Times New Roman" w:hAnsi="Times New Roman"/>
          <w:b/>
          <w:color w:val="000000"/>
          <w:sz w:val="24"/>
        </w:rPr>
        <w:t>Derivative Instrument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(E) any substantial interest, direct or indirect (including any existing or prospective commercial, business or contractual relationship with the Corporation), by security holdings or otherwise, of such Noticing Party or any Stockholder Associated Person in the Corporation or any affiliate thereof, other than an interest arising from the ownership of Corporation securities where such Noticing Party or such Stockholder Associated Person receives no extra or special benefit not shared on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basis by all other holders of the same class or series;</w:t>
      </w:r>
    </w:p>
    <w:p>
      <w:pPr>
        <w:pStyle w:val="TextBody"/>
        <w:bidi w:val="0"/>
        <w:spacing w:before="180" w:after="283"/>
        <w:jc w:val="both"/>
        <w:rPr>
          <w:rFonts w:ascii="Times New Roman" w:hAnsi="Times New Roman"/>
          <w:sz w:val="20"/>
        </w:rPr>
      </w:pPr>
      <w:r>
        <w:rPr>
          <w:rFonts w:ascii="Times New Roman" w:hAnsi="Times New Roman"/>
          <w:color w:val="000000"/>
          <w:sz w:val="24"/>
        </w:rPr>
        <w:t>(F) a complete and accurate description of all agreements, arrangements or understandings, written or oral, (I) between or among such Noticing Party and any of the Stockholder Associated Persons or (II) between or among such Noticing Party or any Stockholder Associated Person and any other person or entity (naming each such person or entity) including (x) any proxy, contract, arrangement, understanding or relationship pursuant to which such Noticing Party or any Stockholder Associated Person, directly or indirectly, has a right to vote any security of the Corporation (other than any revocable proxy given in response to a solicitation made pursuant to, and in accordance with, Section 14(a) of the Exchange Act by way of a solicitation statement filed on Schedule 14A), and (y) any understanding, written or oral, that such Noticing Party or any Stockholder Associated Person may have reached with any stockholder of the Corporation (including the name of such stockholder) with respect to how such stockholder will vote such stockholder’s shares in the Corporation at any meeting of the Corporation’s stockholders or take other action in support of any Proposed Nominee or other business, or other action to be taken, by such Noticing Party or any Stockholder Associated Person;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(G) any rights to dividends on the shares of the Corporation owned beneficially by such Noticing Party or any Stockholder Associated Person that are separated or separable from the underlying shares of the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(H) any proportionate interest in shares of the Corporation or Derivative Instruments held, directly or indirectly, by a general or limited partnership, limited liability company or similar entity in which such Noticing Party or any Stockholder Associated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(I) any significant equity interests or any Derivative Instruments in any principal competitor of the Corporation held by such Noticing Party or any Stockholder Associated Person;</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(J) any direct or indirect interest of such Noticing Party or any Stockholder Associated Person in any contract or arrangement with the Corporation, any affiliate of the Corporation or any principal competitor of the Corporation (including any employment agreement, collective bargaining agreement or consulting agreement);</w:t>
      </w:r>
    </w:p>
    <w:p>
      <w:pPr>
        <w:pStyle w:val="TextBody"/>
        <w:bidi w:val="0"/>
        <w:spacing w:before="180" w:after="283"/>
        <w:jc w:val="both"/>
        <w:rPr>
          <w:rFonts w:ascii="Times New Roman" w:hAnsi="Times New Roman"/>
          <w:sz w:val="20"/>
        </w:rPr>
      </w:pPr>
      <w:r>
        <w:rPr>
          <w:rFonts w:ascii="Times New Roman" w:hAnsi="Times New Roman"/>
          <w:color w:val="000000"/>
          <w:sz w:val="24"/>
        </w:rPr>
        <w:t>(K) a description of any material interest of such Noticing Party or any Stockholder Associated Person in the business proposed by such Noticing Party, if any, or the election of any Proposed Nominee;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(L) a representation that (I) neither such Noticing Party nor any Stockholder Associated Person has breached any contract or other agreement, arrangement or understanding with the Corporation except as disclosed to the Corporation pursuant hereto and (II) such Noticing Party and each Stockholder Associated Person has complied, and will comply, with all applicable requirements of state law and the Exchange Act with respect to the matters set forth in this Section 1.16;</w:t>
      </w:r>
    </w:p>
    <w:p>
      <w:pPr>
        <w:pStyle w:val="TextBody"/>
        <w:bidi w:val="0"/>
        <w:spacing w:before="180" w:after="283"/>
        <w:jc w:val="both"/>
        <w:rPr>
          <w:rFonts w:ascii="Times New Roman" w:hAnsi="Times New Roman"/>
          <w:sz w:val="20"/>
        </w:rPr>
      </w:pPr>
      <w:r>
        <w:rPr>
          <w:rFonts w:ascii="Times New Roman" w:hAnsi="Times New Roman"/>
          <w:color w:val="000000"/>
          <w:sz w:val="24"/>
        </w:rPr>
        <w:t>(M) a complete and accurate description of any performance-related fees (other than asset-based fees) to which such Noticing Party or any Stockholder Associated Person may be entitled as a result of any increase or decrease in the value of the Corporation’s securities or any Derivative Instruments, including any such fees to which members of any Stockholder Associated Person’s immediate family sharing the same household may be entitled;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(N) a description of the investment strategy or objective, if any, of such Noticing Party or any Stockholder Associated Person who is not an individual;</w:t>
      </w:r>
    </w:p>
    <w:p>
      <w:pPr>
        <w:pStyle w:val="TextBody"/>
        <w:bidi w:val="0"/>
        <w:spacing w:before="180" w:after="283"/>
        <w:jc w:val="both"/>
        <w:rPr>
          <w:rFonts w:ascii="Times New Roman" w:hAnsi="Times New Roman"/>
          <w:sz w:val="20"/>
        </w:rPr>
      </w:pPr>
      <w:r>
        <w:rPr>
          <w:rFonts w:ascii="Times New Roman" w:hAnsi="Times New Roman"/>
          <w:color w:val="000000"/>
          <w:sz w:val="24"/>
        </w:rPr>
        <w:t>(O) all information that would be required to be set forth in a Schedule 13D filed pursuant to Rule 13d-1(a) under the Exchange Act or an amendment pursuant to Rule 13d-2(a) under the Exchange Act if such a statement were required to be filed under the Exchange Act by such Noticing Party or any Stockholder Associated Person, or such Noticing Party’s or any Stockholder Associated Person’s associates, (regardless of whether such person or entity is actually required to file a Schedule 13D) including a description of any agreement that would be required to be disclosed by such Noticing Party, any Stockholder Associated Person or any of their respective associates pursuant to Item 5 or Item 6 of Schedule 13D;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(P) a certification that such Noticing Party and each Stockholder Associated Person has complied with all applicable federal, state and other legal requirements in connection with such Noticing Party’s or Stockholder Associated Person’s acquisition of shares of capital stock or other securities of the Corporation and such Noticing Party’s or Stockholder Associated Person’s acts or omissions as a stockholder of the Corporation, if such Noticing Party or Stockholder Associated is or has been a stockholder of the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(Q) (I) if the Noticing Party (or the beneficial owner(s) on whose behalf such Noticing Party is submitting a notice to the Corporation) is not a natural person, the identity of each natural person associated with such Noticing Party (or beneficial owner(s)) responsible for the formulation of and decision to propose the business or nomination to be brought before the meeting (such person or persons, the “</w:t>
      </w:r>
      <w:r>
        <w:rPr>
          <w:rFonts w:ascii="Times New Roman" w:hAnsi="Times New Roman"/>
          <w:b/>
          <w:color w:val="000000"/>
          <w:sz w:val="24"/>
        </w:rPr>
        <w:t>Responsible Person</w:t>
      </w:r>
      <w:r>
        <w:rPr>
          <w:rFonts w:ascii="Times New Roman" w:hAnsi="Times New Roman"/>
          <w:color w:val="000000"/>
          <w:sz w:val="20"/>
        </w:rPr>
        <w:t>”</w:t>
      </w:r>
      <w:r>
        <w:rPr>
          <w:rFonts w:ascii="Times New Roman" w:hAnsi="Times New Roman"/>
          <w:color w:val="000000"/>
          <w:sz w:val="24"/>
        </w:rPr>
        <w:t>), the manner in which such Responsible Person was selected, any fiduciary duties owed by such Responsible Person to the equity holders or other beneficiaries of such Noticing Party (or beneficial owner(s)), the qualifications and background of such Responsible Person and any material interests or relationships of such Responsible Person that are not shared generally by any other record or beneficial holder of the shares of any class or series of the capital stock of the Corporation and that reasonably could have influenced the decision of such Noticing Party (or beneficial owner(s)) to propose such business or nomination to be brought before the meeting and (II) if the Noticing Party (or the beneficial owner(s) on whose behalf such Noticing Party is submitting a notice to the Corporation) is a natural person, the qualifications and background of such natural person and any material interests or relationships of such natural person that are not shared generally by any other record or beneficial holder of the shares of any class or series of the capital stock of the Corporation and that reasonably could have influenced the decision of such Noticing Party (or beneficial owner(s)) to propose such business or nomination to be brought before the meeting; and</w:t>
      </w:r>
    </w:p>
    <w:p>
      <w:pPr>
        <w:pStyle w:val="TextBody"/>
        <w:bidi w:val="0"/>
        <w:spacing w:before="180" w:after="283"/>
        <w:jc w:val="both"/>
        <w:rPr>
          <w:rFonts w:ascii="Times New Roman" w:hAnsi="Times New Roman"/>
          <w:sz w:val="20"/>
        </w:rPr>
      </w:pPr>
      <w:r>
        <w:rPr>
          <w:rFonts w:ascii="Times New Roman" w:hAnsi="Times New Roman"/>
          <w:color w:val="000000"/>
          <w:sz w:val="24"/>
        </w:rPr>
        <w:t>(R) all other information relating to such Noticing Party or any Stockholder Associated Person, or such Noticing Party’s or any Stockholder Associated Person’s associates, that would be required to be disclosed in a proxy statement or other filing required to be made in connection with the solicitation of proxies in support of the business proposed by such Noticing Party, if any, or for the election of any Proposed Nominee in a contested election or otherwise pursuant to the Proxy Rules;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disclosures in the foregoing subclauses (A) through (R) shall not include any such disclosures with respect to the ordinary course business activities of any broker, dealer, commercial bank, trust company or other nominee who is a Noticing Party solely as a result of being the stockholder directed to prepare and submit the notice required by these Bylaws on behalf of a beneficial owner.</w:t>
      </w:r>
    </w:p>
    <w:p>
      <w:pPr>
        <w:pStyle w:val="TextBody"/>
        <w:bidi w:val="0"/>
        <w:spacing w:before="180" w:after="283"/>
        <w:jc w:val="both"/>
        <w:rPr>
          <w:rFonts w:ascii="Times New Roman" w:hAnsi="Times New Roman"/>
          <w:sz w:val="20"/>
        </w:rPr>
      </w:pPr>
      <w:r>
        <w:rPr>
          <w:rFonts w:ascii="Times New Roman" w:hAnsi="Times New Roman"/>
          <w:color w:val="000000"/>
          <w:sz w:val="24"/>
        </w:rPr>
        <w:t>(iv) a representation that such Noticing Party intends to appear in person or cause a Qualified Representative (as defined below) of such Noticing Party to appear in person at the meeting to bring such business before the meeting or nominate any Proposed Nominees, as applicable, and an acknowledgment that, if such Noticing Party (or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Qualified Representative of such Noticing Party)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(v) a complete and accurate description of any pending or, to such Noticing Party’s knowledge, threatened legal proceeding in which such Noticing Party or any Stockholder Associated Person is a party or participant involving the Corporation or, to such Noticing Party’s knowledge, any current or former officer, director, affiliate or associate of the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(vi) identification of the names and addresses of other stockholders (including beneficial owners) known by such Noticing Party to support the nomination(s) or other business proposal(s) submitted by such Noticing Party and, to the extent known, the class and number of all shares of the Corporation’s capital stock owned beneficially or of record by such other stockholder(s) or other beneficial owner(s); and</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(vii) a representation from such Noticing Party as to whether such Noticing Party or any Stockholder Associated Person intends or is part of a group that intends to (A) solicit proxies in support of the election of any Proposed Nominee in accordance with Rule 14a-19 under the Exchange Act or (B) engage in a solicitation (within the meaning of Exchange Act Rule 14a-1(l)) with respect to the nomination or other business, as applicable, and if so, the name of each participant (as defined in Item 4 of Schedule 14A under the Exchange Act) in such solicitation.</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Additional Information</w:t>
      </w:r>
      <w:r>
        <w:rPr>
          <w:rFonts w:ascii="Times New Roman" w:hAnsi="Times New Roman"/>
          <w:color w:val="000000"/>
          <w:sz w:val="24"/>
        </w:rPr>
        <w:t>. In addition to the information required pursuant to the foregoing provision of this Section 1.16, the Corporation may require any Noticing Party to furnish such other information as the Corporation may reasonably require to determine the eligibility or suitability of a Proposed Nominee to serve as a director of the Corporation or that could be material to a reasonable stockholder’s understanding of the independence, or lack thereof, of such Proposed Nominee, under the listing standards of each securities exchange upon which the Corporation’s securities are listed, any applicable rules of the Securities and Exchange Commission, any publicly disclosed standards used by the Board in selecting nominees for election as a director and for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a Noticing Party within ten (10) days after it has been requested by the Corporation. In addition, the Board may require any Proposed Nominee to submit to interviews with the Board or any committee thereof, and such Proposed Nominee shall make himself or herself available for any such interviews within ten (10) days following any reasonable request therefor from the Board or any committee thereof.</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Special Meetings of Stockholders</w:t>
      </w:r>
      <w:r>
        <w:rPr>
          <w:rFonts w:ascii="Times New Roman" w:hAnsi="Times New Roman"/>
          <w:color w:val="000000"/>
          <w:sz w:val="24"/>
        </w:rPr>
        <w:t>. Only such business shall be conducted at a special meeting of stockholders as shall have been brought before the meeting pursuant to the Corporation’s notice of meeting (or any supplement thereto). Nominations of persons for election to the Board may be made at a special meeting of stockholders at which directors are to be elected pursuant to the Corporation’s notice of meeting (or any supplement thereto) (i) by or at the direction of the Board (or any duly authorized committee thereof) or (ii) provided that one or more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directors are to be elected at such meeting pursuant to the Corporation’s notice of meeting, by any stockholder of the Corporation who (A) is a stockholder of record on the date of the giving of the notice provided for in this </w:t>
      </w:r>
      <w:r>
        <w:rPr>
          <w:rFonts w:ascii="Times New Roman" w:hAnsi="Times New Roman"/>
          <w:color w:val="000000"/>
          <w:sz w:val="24"/>
          <w:u w:val="single"/>
        </w:rPr>
        <w:t>Section 1.16(e)</w:t>
      </w:r>
      <w:r>
        <w:rPr>
          <w:rFonts w:ascii="Times New Roman" w:hAnsi="Times New Roman"/>
          <w:color w:val="000000"/>
          <w:sz w:val="20"/>
        </w:rPr>
        <w:t xml:space="preserve"> </w:t>
      </w:r>
      <w:r>
        <w:rPr>
          <w:rFonts w:ascii="Times New Roman" w:hAnsi="Times New Roman"/>
          <w:color w:val="000000"/>
          <w:sz w:val="24"/>
        </w:rPr>
        <w:t xml:space="preserve">through the date of such special meeting, (B) is entitled to vote at such special meeting and upon such election and (C) complies with the notice procedures set forth in this </w:t>
      </w:r>
      <w:r>
        <w:rPr>
          <w:rFonts w:ascii="Times New Roman" w:hAnsi="Times New Roman"/>
          <w:color w:val="000000"/>
          <w:sz w:val="24"/>
          <w:u w:val="single"/>
        </w:rPr>
        <w:t>Section 1.16(e)</w:t>
      </w:r>
      <w:r>
        <w:rPr>
          <w:rFonts w:ascii="Times New Roman" w:hAnsi="Times New Roman"/>
          <w:color w:val="000000"/>
          <w:sz w:val="24"/>
        </w:rPr>
        <w:t xml:space="preserve">. In addition to any other applicable requirements, for director nominations to be properly brought before a special meeting by a stockholder pursuant to the foregoing clause (ii), such stockholder must have given timely notice thereof in proper written form to the Secretary. To be timely, such notice must be received by the Secretary at the principal executive offices of the Corporation not earlier than the one hundred twentieth (120th) day prior to such special meeting and not later than the Close of Business on the later of (x) the ninetieth (90th) day prior to such special meeting and (y) the tenth (10th) day following the day on which public disclosure of the date of the meeting is first made by the Corporation. In no event shall an adjournment, recess, postponement, judicial stay or rescheduling of a special meeting (or the public disclosure thereof) commence a new time period (or extend any time period) for the giving of a stockholder’s notice as described above. To be in proper written form, such notice shall include all information required pursuant to </w:t>
      </w:r>
      <w:r>
        <w:rPr>
          <w:rFonts w:ascii="Times New Roman" w:hAnsi="Times New Roman"/>
          <w:color w:val="000000"/>
          <w:sz w:val="24"/>
          <w:u w:val="single"/>
        </w:rPr>
        <w:t>Section 1.16(c)</w:t>
      </w:r>
      <w:r>
        <w:rPr>
          <w:rFonts w:ascii="Times New Roman" w:hAnsi="Times New Roman"/>
          <w:color w:val="000000"/>
          <w:sz w:val="20"/>
        </w:rPr>
        <w:t xml:space="preserve"> </w:t>
      </w:r>
      <w:r>
        <w:rPr>
          <w:rFonts w:ascii="Times New Roman" w:hAnsi="Times New Roman"/>
          <w:color w:val="000000"/>
          <w:sz w:val="24"/>
        </w:rPr>
        <w:t xml:space="preserve">above, and such stockholder and any Proposed Nominee shall comply with </w:t>
      </w:r>
      <w:r>
        <w:rPr>
          <w:rFonts w:ascii="Times New Roman" w:hAnsi="Times New Roman"/>
          <w:color w:val="000000"/>
          <w:sz w:val="24"/>
          <w:u w:val="single"/>
        </w:rPr>
        <w:t>Section 1.16(d)</w:t>
      </w:r>
      <w:r>
        <w:rPr>
          <w:rFonts w:ascii="Times New Roman" w:hAnsi="Times New Roman"/>
          <w:color w:val="000000"/>
          <w:sz w:val="20"/>
        </w:rPr>
        <w:t xml:space="preserve"> </w:t>
      </w:r>
      <w:r>
        <w:rPr>
          <w:rFonts w:ascii="Times New Roman" w:hAnsi="Times New Roman"/>
          <w:color w:val="000000"/>
          <w:sz w:val="24"/>
        </w:rPr>
        <w:t>above, as if such notice were being submitted in connection with an annual meeting of stockholders.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(i) No person shall be eligible for election as a director of the Corporation unless the person is nominated in accordance with the procedures set forth in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below, and no business shall be conducted at a meeting of stockholders of the Corporation except business brought in accordance with the procedures set forth in this </w:t>
      </w:r>
      <w:r>
        <w:rPr>
          <w:rFonts w:ascii="Times New Roman" w:hAnsi="Times New Roman"/>
          <w:color w:val="000000"/>
          <w:sz w:val="24"/>
          <w:u w:val="single"/>
        </w:rPr>
        <w:t>Section 1.16</w:t>
      </w:r>
      <w:r>
        <w:rPr>
          <w:rFonts w:ascii="Times New Roman" w:hAnsi="Times New Roman"/>
          <w:color w:val="000000"/>
          <w:sz w:val="24"/>
        </w:rPr>
        <w:t xml:space="preserve">. The number of nominees a stockholder may nominate for election at a meeting may not exceed the number of directors to be elected at such meeting and for the avoidance of doubt, no stockholder shall be entitled to make additional or substitute nominations following the expiration of the time periods set forth in </w:t>
      </w:r>
      <w:r>
        <w:rPr>
          <w:rFonts w:ascii="Times New Roman" w:hAnsi="Times New Roman"/>
          <w:color w:val="000000"/>
          <w:sz w:val="24"/>
          <w:u w:val="single"/>
        </w:rPr>
        <w:t>Section 1.16(b)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1.16(e)</w:t>
      </w:r>
      <w:r>
        <w:rPr>
          <w:rFonts w:ascii="Times New Roman" w:hAnsi="Times New Roman"/>
          <w:color w:val="000000"/>
          <w:sz w:val="24"/>
        </w:rPr>
        <w:t xml:space="preserve">, as applicable. Notwithstanding the foregoing provisions of this </w:t>
      </w:r>
      <w:r>
        <w:rPr>
          <w:rFonts w:ascii="Times New Roman" w:hAnsi="Times New Roman"/>
          <w:color w:val="000000"/>
          <w:sz w:val="24"/>
          <w:u w:val="single"/>
        </w:rPr>
        <w:t>Section 1.16</w:t>
      </w:r>
      <w:r>
        <w:rPr>
          <w:rFonts w:ascii="Times New Roman" w:hAnsi="Times New Roman"/>
          <w:color w:val="000000"/>
          <w:sz w:val="24"/>
        </w:rPr>
        <w:t>, unless otherwise required by law, if the Noticing Party (or a Qualified Representative of the Noticing Party) proposing a nominee for director or business to be conducted at a meeting does not appear at the meeting of stockholders of the Corporation to present such nomination or propose such business, such proposed nomination shall be disregarded or such proposed business shall not be transacted, as applicable, and no vote shall be taken with respect to such nomination or proposed business, notwithstanding that proxies with respect to such vote may have been received by the Corporation. Except as otherwise provided by law, the chairperson of a meeting shall have the power and the duty to determine whether a nomination or any business proposed to be brought before the meeting has been made in accordance with the procedures set forth in these Bylaws, and, if the chairperson of the meeting determines that any proposed nomination or business was not properly brought before the meeting, the chairperson shall declare to the meeting that such nomination shall be disregarded or such business shall not be transacted, and no vote shall be taken with respect to such nomination or proposed business, in each case, notwithstanding that proxies with respect to such vote may have been received by the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(ii) A Noticing Party shall update such Noticing Party’s notice provided under the foregoing provisions of this </w:t>
      </w:r>
      <w:r>
        <w:rPr>
          <w:rFonts w:ascii="Times New Roman" w:hAnsi="Times New Roman"/>
          <w:color w:val="000000"/>
          <w:sz w:val="24"/>
          <w:u w:val="single"/>
        </w:rPr>
        <w:t>Section 1.16</w:t>
      </w:r>
      <w:r>
        <w:rPr>
          <w:rFonts w:ascii="Times New Roman" w:hAnsi="Times New Roman"/>
          <w:color w:val="000000"/>
          <w:sz w:val="24"/>
        </w:rPr>
        <w:t xml:space="preserve">, if necessary, such that the information provided or required to be provided in such notice shall be true and correct as of (A) the record date for determining the stockholders entitled to receive notice of the meeting and (B) the date that is ten (10) business days prior to the meeting (or any postponement, rescheduling or adjournment thereof), and such update shall (I) be received by the Secretary at the principal executive offices of the Corporation (x) not later than the Close of Business five (5) business days after the record date for determining the stockholders entitled to receive notice of such meeting (in the case of an update required to be made under clause (A)) and (y) not later than the Close of Business seven (7) business days prior to the date for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(II) be made only to the extent that information has changed since such Noticing Party’s prior submission and (III) clearly identify the information that has changed since such Noticing Party’s prior submission. For the avoidance of doubt, any information provided pursuant to this </w:t>
      </w:r>
      <w:r>
        <w:rPr>
          <w:rFonts w:ascii="Times New Roman" w:hAnsi="Times New Roman"/>
          <w:color w:val="000000"/>
          <w:sz w:val="24"/>
          <w:u w:val="single"/>
        </w:rPr>
        <w:t>Section 1.16(f)(ii)</w:t>
      </w:r>
      <w:r>
        <w:rPr>
          <w:rFonts w:ascii="Times New Roman" w:hAnsi="Times New Roman"/>
          <w:color w:val="000000"/>
          <w:sz w:val="20"/>
        </w:rPr>
        <w:t xml:space="preserve"> </w:t>
      </w:r>
      <w:r>
        <w:rPr>
          <w:rFonts w:ascii="Times New Roman" w:hAnsi="Times New Roman"/>
          <w:color w:val="000000"/>
          <w:sz w:val="24"/>
        </w:rPr>
        <w:t xml:space="preserve">shall not be deemed to cure any deficiencies or inaccuracies in a notice previously delivered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and shall not extend the time period for the delivery of notice pursuant to this </w:t>
      </w:r>
      <w:r>
        <w:rPr>
          <w:rFonts w:ascii="Times New Roman" w:hAnsi="Times New Roman"/>
          <w:color w:val="000000"/>
          <w:sz w:val="24"/>
          <w:u w:val="single"/>
        </w:rPr>
        <w:t>Section 1.16</w:t>
      </w:r>
      <w:r>
        <w:rPr>
          <w:rFonts w:ascii="Times New Roman" w:hAnsi="Times New Roman"/>
          <w:color w:val="000000"/>
          <w:sz w:val="24"/>
        </w:rPr>
        <w:t xml:space="preserve">. If a Noticing Party fails to provide such written update within such period, the information as to which such written update relates may be deemed not to have been provided in accordance with this </w:t>
      </w:r>
      <w:r>
        <w:rPr>
          <w:rFonts w:ascii="Times New Roman" w:hAnsi="Times New Roman"/>
          <w:color w:val="000000"/>
          <w:sz w:val="24"/>
          <w:u w:val="single"/>
        </w:rPr>
        <w:t>Section 1.16</w:t>
      </w:r>
      <w:r>
        <w:rPr>
          <w:rFonts w:ascii="Times New Roman" w:hAnsi="Times New Roman"/>
          <w:color w:val="000000"/>
          <w:sz w:val="24"/>
        </w:rPr>
        <w:t>.</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(iii) If any information submitted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by any Noticing Party nominating individuals for election or reelection as a director or proposing business for consideration at a stockholder meeting shall be inaccurate in any material respect (as determined by the Board or a committee thereof), such information shall be deemed not to have been provided in accordance with this </w:t>
      </w:r>
      <w:r>
        <w:rPr>
          <w:rFonts w:ascii="Times New Roman" w:hAnsi="Times New Roman"/>
          <w:color w:val="000000"/>
          <w:sz w:val="24"/>
          <w:u w:val="single"/>
        </w:rPr>
        <w:t>Section 1.16</w:t>
      </w:r>
      <w:r>
        <w:rPr>
          <w:rFonts w:ascii="Times New Roman" w:hAnsi="Times New Roman"/>
          <w:color w:val="000000"/>
          <w:sz w:val="24"/>
        </w:rPr>
        <w:t xml:space="preserve">. Any such Noticing Party shall notify the Secretary in writing at the principal executive offices of the Corporation of any inaccuracy or change in any information submitted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(including if any Noticing Party or any Stockholder Associated Person no longer intends to solicit proxies in accordance with the representation made pursuant to </w:t>
      </w:r>
      <w:r>
        <w:rPr>
          <w:rFonts w:ascii="Times New Roman" w:hAnsi="Times New Roman"/>
          <w:color w:val="000000"/>
          <w:sz w:val="24"/>
          <w:u w:val="single"/>
        </w:rPr>
        <w:t>Section 1.16(c)(vii)(B)</w:t>
      </w:r>
      <w:r>
        <w:rPr>
          <w:rFonts w:ascii="Times New Roman" w:hAnsi="Times New Roman"/>
          <w:color w:val="000000"/>
          <w:sz w:val="24"/>
        </w:rPr>
        <w:t xml:space="preserve">) within two (2) business days after becoming aware of such inaccuracy or change, and any such notification shall clearly identify the inaccuracy or change, it being understood that no such notification may cure any deficiencies or inaccuracies with respect to any prior submission by such Noticing Party. Upon written request of the Secretary on behalf of the Board (or a duly authorized committee thereof), any such Noticing Party shall provide, within seven (7) business days after delivery of such request (or such other period as may be specified in such request), (A) written verification, reasonably satisfactory to the Board, any committee thereof or any authorized officer of the Corporation, to demonstrate the accuracy of any information submitted by such Noticing Party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and (B) a written affirmation of any information submitted by such Noticing Party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as of an earlier date. If a Noticing Party fails to provide such written verification or affirmation within such period, the information as to which written verification or affirmation was requested may be deemed not to have been provided in accordance with this </w:t>
      </w:r>
      <w:r>
        <w:rPr>
          <w:rFonts w:ascii="Times New Roman" w:hAnsi="Times New Roman"/>
          <w:color w:val="000000"/>
          <w:sz w:val="24"/>
          <w:u w:val="single"/>
        </w:rPr>
        <w:t>Section 1.16</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(iv) If (A) any Noticing Party or any Stockholder Associated Person provides notice pursuant to Rule 14a-19(b) under the Exchange Act with respect to any Proposed Nominee and (B) (1) such Noticing Party or Stockholder Associated Person subsequently either (x) notifies the Corporation that such Noticing Party or Stockholder Associated Person no longer intends to solicit proxies in support of the election of such Proposed Nominee in accordance with Rule 14a-19(b) under the Exchange Act or (y) fails to comply with the requirements of Rule 14a-19(a)(2) or Rule 14a-19(a)(3) under the Exchange Act and (2) no other Noticing Party or Stockholder Associated Person that has provided notice pursuant to Rule 14a-19(b) under the Exchange Act with respect to such Proposed Nominee (x) intends to solicit proxies in support of the election of such Proposed Nominee in accordance with Rule 14a-19(b) under the Exchange Act and (y) has complied with the requirements of Rule 14a-19(a)(2) or Rule 14a-19(a)(3) under the Exchange Act, then the nomination of such Proposed Nominee shall be disregarded and no vote on the election of such Proposed Nominee shall occur (notwithstanding that proxies in respect of such vote may have been received by the Corporation). Upon request by the Corporation, if any Noticing Party provides notice pursuant to Rule 14a-19(b) under the Exchange Act, such Noticing Party shall deliver to the Secretary, no later than five business days prior to the applicable meeting date, reasonable evidence that the requirements of Rule 14a-19(a)(3) under the Exchange Act have been satisfied.</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(v) In addition to complying with the foregoing provisions of this Section 1.16, a stockholder shall also comply with all applicable requirements of state law and the Exchange Act with respect to the matters set forth in this Section 1.16. Nothing in this Section 1.16 shall be deemed to affect any rights of (A) stockholders to request inclusion of proposals in the Corporation’s proxy statement pursuant to Rule 14a-8 under the Exchange Act, (B) stockholders to request inclusion of nominees in the Corporation’s proxy statement pursuant to the Proxy Rules or (C) the holders of any series of preferred stock to elect directors pursuant to any applicable provisions of the Certificate of Incorporation.</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(vi) Any written notice, supplement, update or other information required to be delivered by a stockholder to the Corporation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must be given by personal delivery, by overnight courier or by registered or certified mail, postage prepaid, to the Secretary at the Corporation’s principal executive offices.</w:t>
      </w:r>
    </w:p>
    <w:p>
      <w:pPr>
        <w:pStyle w:val="TextBody"/>
        <w:bidi w:val="0"/>
        <w:spacing w:before="180" w:after="283"/>
        <w:jc w:val="both"/>
        <w:rPr>
          <w:rFonts w:ascii="Times New Roman" w:hAnsi="Times New Roman"/>
          <w:sz w:val="20"/>
        </w:rPr>
      </w:pPr>
      <w:r>
        <w:rPr>
          <w:rFonts w:ascii="Times New Roman" w:hAnsi="Times New Roman"/>
          <w:color w:val="000000"/>
          <w:sz w:val="24"/>
        </w:rPr>
        <w:t>(vii) For purposes of these Bylaws, (A) “</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associate</w:t>
      </w:r>
      <w:r>
        <w:rPr>
          <w:rFonts w:ascii="Times New Roman" w:hAnsi="Times New Roman"/>
          <w:color w:val="000000"/>
          <w:sz w:val="20"/>
        </w:rPr>
        <w:t xml:space="preserve">” </w:t>
      </w:r>
      <w:r>
        <w:rPr>
          <w:rFonts w:ascii="Times New Roman" w:hAnsi="Times New Roman"/>
          <w:color w:val="000000"/>
          <w:sz w:val="24"/>
        </w:rPr>
        <w:t>each shall have the respective meanings set forth in Rule 12b-2 under the Exchange Act; (B) “</w:t>
      </w:r>
      <w:r>
        <w:rPr>
          <w:rFonts w:ascii="Times New Roman" w:hAnsi="Times New Roman"/>
          <w:b/>
          <w:color w:val="000000"/>
          <w:sz w:val="24"/>
        </w:rPr>
        <w:t>beneficial owner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beneficially owned</w:t>
      </w:r>
      <w:r>
        <w:rPr>
          <w:rFonts w:ascii="Times New Roman" w:hAnsi="Times New Roman"/>
          <w:color w:val="000000"/>
          <w:sz w:val="20"/>
        </w:rPr>
        <w:t xml:space="preserve">” </w:t>
      </w:r>
      <w:r>
        <w:rPr>
          <w:rFonts w:ascii="Times New Roman" w:hAnsi="Times New Roman"/>
          <w:color w:val="000000"/>
          <w:sz w:val="24"/>
        </w:rPr>
        <w:t>shall have the meaning set forth for such terms in Section 13(d) of the Exchange Act; (C) “</w:t>
      </w:r>
      <w:r>
        <w:rPr>
          <w:rFonts w:ascii="Times New Roman" w:hAnsi="Times New Roman"/>
          <w:b/>
          <w:color w:val="000000"/>
          <w:sz w:val="24"/>
        </w:rPr>
        <w:t>Close of Business</w:t>
      </w:r>
      <w:r>
        <w:rPr>
          <w:rFonts w:ascii="Times New Roman" w:hAnsi="Times New Roman"/>
          <w:color w:val="000000"/>
          <w:sz w:val="20"/>
        </w:rPr>
        <w:t xml:space="preserve">” </w:t>
      </w:r>
      <w:r>
        <w:rPr>
          <w:rFonts w:ascii="Times New Roman" w:hAnsi="Times New Roman"/>
          <w:color w:val="000000"/>
          <w:sz w:val="24"/>
        </w:rPr>
        <w:t>shall mean 5:00 p.m. Eastern Time on any calendar day, whether or not the day is a business day; (D) “</w:t>
      </w:r>
      <w:r>
        <w:rPr>
          <w:rFonts w:ascii="Times New Roman" w:hAnsi="Times New Roman"/>
          <w:b/>
          <w:color w:val="000000"/>
          <w:sz w:val="24"/>
        </w:rPr>
        <w:t>public disclosure</w:t>
      </w:r>
      <w:r>
        <w:rPr>
          <w:rFonts w:ascii="Times New Roman" w:hAnsi="Times New Roman"/>
          <w:color w:val="000000"/>
          <w:sz w:val="20"/>
        </w:rPr>
        <w:t xml:space="preserve">” </w:t>
      </w:r>
      <w:r>
        <w:rPr>
          <w:rFonts w:ascii="Times New Roman" w:hAnsi="Times New Roman"/>
          <w:color w:val="000000"/>
          <w:sz w:val="24"/>
        </w:rPr>
        <w:t>shall mean disclosure in a press release reported by a national news service or in a document publicly filed by the Corporation with the Securities and Exchange Commission pursuant to Section 13, 14 or 15(d) of the Exchange Act; (E) a “</w:t>
      </w:r>
      <w:r>
        <w:rPr>
          <w:rFonts w:ascii="Times New Roman" w:hAnsi="Times New Roman"/>
          <w:b/>
          <w:color w:val="000000"/>
          <w:sz w:val="24"/>
        </w:rPr>
        <w:t>Qualified Representative</w:t>
      </w:r>
      <w:r>
        <w:rPr>
          <w:rFonts w:ascii="Times New Roman" w:hAnsi="Times New Roman"/>
          <w:color w:val="000000"/>
          <w:sz w:val="20"/>
        </w:rPr>
        <w:t xml:space="preserve">” </w:t>
      </w:r>
      <w:r>
        <w:rPr>
          <w:rFonts w:ascii="Times New Roman" w:hAnsi="Times New Roman"/>
          <w:color w:val="000000"/>
          <w:sz w:val="24"/>
        </w:rPr>
        <w:t>of a Noticing Party means (I) a duly authorized officer, manager or partner of such Noticing Party or (II) a person authorized by a writing executed by such Noticing Party (or a reliable reproduction or electronic transmission of the writing) delivered by such Noticing Party to the Corporation prior to the making of any nomination or proposal at a stockholder meeting stating that such person is authorized to act for such Noticing Party as proxy at the meeting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of stockholders, which writing or electronic transmission, or a reliable reproduction of the writing or electronic transmission, must be produced at the meeting of stockholders; and (F) “</w:t>
      </w:r>
      <w:r>
        <w:rPr>
          <w:rFonts w:ascii="Times New Roman" w:hAnsi="Times New Roman"/>
          <w:b/>
          <w:color w:val="000000"/>
          <w:sz w:val="24"/>
        </w:rPr>
        <w:t>Stockholder Associated Person</w:t>
      </w:r>
      <w:r>
        <w:rPr>
          <w:rFonts w:ascii="Times New Roman" w:hAnsi="Times New Roman"/>
          <w:color w:val="000000"/>
          <w:sz w:val="20"/>
        </w:rPr>
        <w:t xml:space="preserve">” </w:t>
      </w:r>
      <w:r>
        <w:rPr>
          <w:rFonts w:ascii="Times New Roman" w:hAnsi="Times New Roman"/>
          <w:color w:val="000000"/>
          <w:sz w:val="24"/>
        </w:rPr>
        <w:t>shall mean, with respect to a Noticing Party and if different from such Noticing Party, any beneficial owner of shares of stock of the Corporation on whose behalf such Noticing Party is providing notice of any nomination or other business proposed, (I) any person directly or indirectly controlling, controlled by or under common control with such Noticing Party or beneficial owner(s), (II) any member of the immediate family of such Noticing Party or beneficial owner(s) sharing the same household, (III) any person or entity who is a member of a “group” (as such term is used in Rule 13d</w:t>
        <w:noBreakHyphen/>
        <w:t>5 under the Exchange Act (or any successor provision at law)) with, or is otherwise known by such Noticing Party or other Stockholder Associated Person to be acting in concert with, such Noticing Party, such beneficial owner(s) or any other Stockholder Associated Person with respect to the stock of the Corporation, (IV) any affiliate or associate of such Noticing Party, such beneficial owner(s) or any other Stockholder Associated Person, (V) if such Noticing Party or any such beneficial owner is not a natural person, any Responsible Person, (VI) any participant (as defined in paragraphs (a)(ii)</w:t>
        <w:noBreakHyphen/>
        <w:t>(vi) of Instruction 3 to Item 4 of Schedule 14A) with such Noticing Party, such beneficial owner(s) or any other Stockholder Associated Person with respect to any proposed business or nominations, as applicable, (VII) any beneficial owner of shares of stock of the Corporation owned of record by such Noticing Party or any other Stockholder Associated Person (other than a stockholder that is a depositary) and (VIII) any Proposed Nominee.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Section 1.17. </w:t>
      </w:r>
      <w:r>
        <w:rPr>
          <w:rFonts w:ascii="Times New Roman" w:hAnsi="Times New Roman"/>
          <w:color w:val="000000"/>
          <w:sz w:val="24"/>
          <w:u w:val="single"/>
        </w:rPr>
        <w:t>Exchange Act; State Law</w:t>
      </w:r>
      <w:r>
        <w:rPr>
          <w:rFonts w:ascii="Times New Roman" w:hAnsi="Times New Roman"/>
          <w:color w:val="000000"/>
          <w:sz w:val="24"/>
        </w:rPr>
        <w:t xml:space="preserve">. In addition to complying with the provisions of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above, a stockholder shall also comply with all applicable requirements of state law and the Exchange Act and the rules and regulations thereunder with respect to the matters set forth in such section. Nothing in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above shall be deemed to affect any rights of (a) stockholders to request inclusion of proposals in the Corporation’s proxy statement pursuant to Rule 14a-8 under the Exchange Act, (b) stockholders to request inclusion of nominees in the Corporation’s proxy statement pursuant to the Proxy Rules or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below or (c) the holders of any series of preferred stock to elect directors pursuant to any applicable provisions of the Certificate of Incorporation.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1.18. </w:t>
      </w:r>
      <w:r>
        <w:rPr>
          <w:rFonts w:ascii="Times New Roman" w:hAnsi="Times New Roman"/>
          <w:color w:val="000000"/>
          <w:sz w:val="24"/>
          <w:u w:val="single"/>
        </w:rPr>
        <w:t>Proxy Access for Director Nominations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Proxy Access Eligibility</w:t>
      </w:r>
      <w:r>
        <w:rPr>
          <w:rFonts w:ascii="Times New Roman" w:hAnsi="Times New Roman"/>
          <w:color w:val="000000"/>
          <w:sz w:val="24"/>
        </w:rPr>
        <w:t xml:space="preserve">. Whenever the Board solicits proxies with respect to the election of directors at an annual meeting of stockholders, subject to the provisions of this </w:t>
      </w:r>
      <w:r>
        <w:rPr>
          <w:rFonts w:ascii="Times New Roman" w:hAnsi="Times New Roman"/>
          <w:color w:val="000000"/>
          <w:sz w:val="24"/>
          <w:u w:val="single"/>
        </w:rPr>
        <w:t>Section 1.18</w:t>
      </w:r>
      <w:r>
        <w:rPr>
          <w:rFonts w:ascii="Times New Roman" w:hAnsi="Times New Roman"/>
          <w:color w:val="000000"/>
          <w:sz w:val="24"/>
        </w:rPr>
        <w:t>, the Corporation shall include in its proxy statement for such annual meeting, in addition to any persons nominated for election by the Board or any committee thereof, the name, together with the Required Information (as hereinafter defined), of any person nominated for election (the “</w:t>
      </w:r>
      <w:r>
        <w:rPr>
          <w:rFonts w:ascii="Times New Roman" w:hAnsi="Times New Roman"/>
          <w:b/>
          <w:color w:val="000000"/>
          <w:sz w:val="24"/>
        </w:rPr>
        <w:t>Stockholder Nominee</w:t>
      </w:r>
      <w:r>
        <w:rPr>
          <w:rFonts w:ascii="Times New Roman" w:hAnsi="Times New Roman"/>
          <w:color w:val="000000"/>
          <w:sz w:val="20"/>
        </w:rPr>
        <w:t>”</w:t>
      </w:r>
      <w:r>
        <w:rPr>
          <w:rFonts w:ascii="Times New Roman" w:hAnsi="Times New Roman"/>
          <w:color w:val="000000"/>
          <w:sz w:val="24"/>
        </w:rPr>
        <w:t xml:space="preserve">) to the Board by a stockholder or group of no more than twenty (20) stockholders that satisfies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Eligible Stockholder</w:t>
      </w:r>
      <w:r>
        <w:rPr>
          <w:rFonts w:ascii="Times New Roman" w:hAnsi="Times New Roman"/>
          <w:color w:val="000000"/>
          <w:sz w:val="20"/>
        </w:rPr>
        <w:t>”</w:t>
      </w:r>
      <w:r>
        <w:rPr>
          <w:rFonts w:ascii="Times New Roman" w:hAnsi="Times New Roman"/>
          <w:color w:val="000000"/>
          <w:sz w:val="24"/>
        </w:rPr>
        <w:t xml:space="preserve">) and that expressly elects at the time of providing the notice required by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Notice of Proxy Access Nomination</w:t>
      </w:r>
      <w:r>
        <w:rPr>
          <w:rFonts w:ascii="Times New Roman" w:hAnsi="Times New Roman"/>
          <w:color w:val="000000"/>
          <w:sz w:val="20"/>
        </w:rPr>
        <w:t>”</w:t>
      </w:r>
      <w:r>
        <w:rPr>
          <w:rFonts w:ascii="Times New Roman" w:hAnsi="Times New Roman"/>
          <w:color w:val="000000"/>
          <w:sz w:val="24"/>
        </w:rPr>
        <w:t xml:space="preserve">) to have such nominee included in the Corporation’s proxy materials pursuant to this </w:t>
      </w:r>
      <w:r>
        <w:rPr>
          <w:rFonts w:ascii="Times New Roman" w:hAnsi="Times New Roman"/>
          <w:color w:val="000000"/>
          <w:sz w:val="24"/>
          <w:u w:val="single"/>
        </w:rPr>
        <w:t>Section 1.18</w:t>
      </w:r>
      <w:r>
        <w:rPr>
          <w:rFonts w:ascii="Times New Roman" w:hAnsi="Times New Roman"/>
          <w:color w:val="000000"/>
          <w:sz w:val="24"/>
        </w:rPr>
        <w:t xml:space="preserve">. For purposes of this </w:t>
      </w:r>
      <w:r>
        <w:rPr>
          <w:rFonts w:ascii="Times New Roman" w:hAnsi="Times New Roman"/>
          <w:color w:val="000000"/>
          <w:sz w:val="24"/>
          <w:u w:val="single"/>
        </w:rPr>
        <w:t>Section 1.18</w:t>
      </w:r>
      <w:r>
        <w:rPr>
          <w:rFonts w:ascii="Times New Roman" w:hAnsi="Times New Roman"/>
          <w:color w:val="000000"/>
          <w:sz w:val="24"/>
        </w:rPr>
        <w:t>, the “</w:t>
      </w:r>
      <w:r>
        <w:rPr>
          <w:rFonts w:ascii="Times New Roman" w:hAnsi="Times New Roman"/>
          <w:b/>
          <w:color w:val="000000"/>
          <w:sz w:val="24"/>
        </w:rPr>
        <w:t>Required Information</w:t>
      </w:r>
      <w:r>
        <w:rPr>
          <w:rFonts w:ascii="Times New Roman" w:hAnsi="Times New Roman"/>
          <w:color w:val="000000"/>
          <w:sz w:val="20"/>
        </w:rPr>
        <w:t xml:space="preserve">” </w:t>
      </w:r>
      <w:r>
        <w:rPr>
          <w:rFonts w:ascii="Times New Roman" w:hAnsi="Times New Roman"/>
          <w:color w:val="000000"/>
          <w:sz w:val="24"/>
        </w:rPr>
        <w:t>that the Corporation will include in its proxy statement is (i) the information provided to the Secretary of the Corporation concerning the Stockholder Nominee and the Eligible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Stockholder that is required to be disclosed in the Corporation’s proxy statement pursuant to the Proxy Rules and (ii) if the Eligible Stockholder so elects, a Supporting Statement (as hereinafter defined). The Required Information must be provided with the Notice of Proxy Access Nomination. Nothing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Maximum Number of Stockholder Nominees</w:t>
      </w:r>
      <w:r>
        <w:rPr>
          <w:rFonts w:ascii="Times New Roman" w:hAnsi="Times New Roman"/>
          <w:color w:val="000000"/>
          <w:sz w:val="24"/>
        </w:rPr>
        <w:t xml:space="preserve">. The maximum number of Stockholder Nominees nominated by all Eligible Stockholders that will be included in the Corporation’s proxy materials with respect to an annual meeting of stockholders shall not exceed the greater of (i) two (2) or (ii) twenty percent (20%) of the number of directors in office as of the last day on which a Notice of Proxy Access Nomination may be delivered pursuant to and in accordance with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Final Proxy Access Nomination Date</w:t>
      </w:r>
      <w:r>
        <w:rPr>
          <w:rFonts w:ascii="Times New Roman" w:hAnsi="Times New Roman"/>
          <w:color w:val="000000"/>
          <w:sz w:val="20"/>
        </w:rPr>
        <w:t>”</w:t>
      </w:r>
      <w:r>
        <w:rPr>
          <w:rFonts w:ascii="Times New Roman" w:hAnsi="Times New Roman"/>
          <w:color w:val="000000"/>
          <w:sz w:val="24"/>
        </w:rPr>
        <w:t xml:space="preserve">) or, if such amount is not a whole number, the closest whole number below twenty percent (20%). In the event that one or more vacancies for any reason occurs on the Board after the Final Proxy Access Nomination Date but before the date of the annual meeting and the Board resolves to reduce the size of the Board in connection therewith, the maximum number of Stockholder Nominees included in the Corporation’s proxy materials shall be calculated based on the number of directors in office as so reduced. The maximum number of Stockholder Nominees provided for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for any annual meeting shall be reduced by (i) the number of directors (if any) in office as of the Final Proxy Access Nomination Date who were included in the Corporation’s proxy materials as a Stockholder Nominee for any of the two (2) preceding annual meetings of stockholders (including any individual counted as a Stockholder Nominee pursuant to the immediately succeeding sentence) and whom the Board decides to nominate for re-election to the Board at such annual meeting and (ii) the number of individuals (if any) who will be included in the Corporation’s proxy statement as nominees recommended by the Board pursuant to an agreement, arrangement or other understanding with a stockholder or group of stockholders (other than any such agreement, arrangement or understanding entered into in a connection with an acquisition of capital stock from the Corporation by such stockholder or group of stockholders). For purposes of determining when the maximum number of Stockholder Nominees provided for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has been reached, each of the following persons shall be counted as one of the Stockholder Nominees: (A) any individual nominated by an Eligible Stockholder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whose nomination is subsequently withdrawn and (B) any individual nominated by an Eligible Stockholder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whom the Board decides to nominate for election to the Board. Any Eligible Stockholder submitting more than one Stockholder Nominee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shall rank such Stockholder Nominees based on the order in which the Eligible Stockholder desires such Stockholder Nominees to be selected for inclusion in the Corporation’s proxy materials. In the event that the number of Stockholder Nominees submitted by Eligible Stockholders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exceeds the maximum number of Stockholder Nominees provided for in this </w:t>
      </w:r>
      <w:r>
        <w:rPr>
          <w:rFonts w:ascii="Times New Roman" w:hAnsi="Times New Roman"/>
          <w:color w:val="000000"/>
          <w:sz w:val="24"/>
          <w:u w:val="single"/>
        </w:rPr>
        <w:t>Section 1.18</w:t>
      </w:r>
      <w:r>
        <w:rPr>
          <w:rFonts w:ascii="Times New Roman" w:hAnsi="Times New Roman"/>
          <w:color w:val="000000"/>
          <w:sz w:val="24"/>
        </w:rPr>
        <w:t xml:space="preserve">, the highest ranking Stockholder Nominee who meets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from each Eligible Stockholder will be selected for inclusion in the Corporation’s proxy materials until the maximum number is reached, going in order of the amount (largest to smallest) of shares of stock of the Corporation each Eligible Stockholder disclosed as owned in its Notice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of Proxy Access Nomination. If the maximum number is not reached after the highest ranking Stockholder Nominee who meets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from each Eligible Stockholder has been selected, then the next highest ranking Stockholder Nominee who meets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from each Eligible Stockholder will be selected for inclusion in the Corporation’s proxy materials, and this process will continue as many times as necessary, following the same order each time, until the maximum number is reached.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Required Shares and Minimum Holding Period</w:t>
      </w:r>
      <w:r>
        <w:rPr>
          <w:rFonts w:ascii="Times New Roman" w:hAnsi="Times New Roman"/>
          <w:color w:val="000000"/>
          <w:sz w:val="24"/>
        </w:rPr>
        <w:t xml:space="preserve">. In order to make a nomination pursuant to this </w:t>
      </w:r>
      <w:r>
        <w:rPr>
          <w:rFonts w:ascii="Times New Roman" w:hAnsi="Times New Roman"/>
          <w:color w:val="000000"/>
          <w:sz w:val="24"/>
          <w:u w:val="single"/>
        </w:rPr>
        <w:t>Section 1.18</w:t>
      </w:r>
      <w:r>
        <w:rPr>
          <w:rFonts w:ascii="Times New Roman" w:hAnsi="Times New Roman"/>
          <w:color w:val="000000"/>
          <w:sz w:val="24"/>
        </w:rPr>
        <w:t xml:space="preserve">, an Eligible Stockholder must have continuously owned (as hereinafter defined) for at least three (3) years as of the date the Notice of Proxy Access Nomination is delivered to the Secretary of the Corporation in accordance with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Minimum Holding Period</w:t>
      </w:r>
      <w:r>
        <w:rPr>
          <w:rFonts w:ascii="Times New Roman" w:hAnsi="Times New Roman"/>
          <w:color w:val="000000"/>
          <w:sz w:val="20"/>
        </w:rPr>
        <w:t>”</w:t>
      </w:r>
      <w:r>
        <w:rPr>
          <w:rFonts w:ascii="Times New Roman" w:hAnsi="Times New Roman"/>
          <w:color w:val="000000"/>
          <w:sz w:val="24"/>
        </w:rPr>
        <w:t>) a number of shares of stock of the Corporation that represents at least three percent (3%) of the voting power of the shares of stock of the Corporation entitled to vote in the election of directors (the “</w:t>
      </w:r>
      <w:r>
        <w:rPr>
          <w:rFonts w:ascii="Times New Roman" w:hAnsi="Times New Roman"/>
          <w:b/>
          <w:color w:val="000000"/>
          <w:sz w:val="24"/>
        </w:rPr>
        <w:t>Required Shares</w:t>
      </w:r>
      <w:r>
        <w:rPr>
          <w:rFonts w:ascii="Times New Roman" w:hAnsi="Times New Roman"/>
          <w:color w:val="000000"/>
          <w:sz w:val="20"/>
        </w:rPr>
        <w:t>”</w:t>
      </w:r>
      <w:r>
        <w:rPr>
          <w:rFonts w:ascii="Times New Roman" w:hAnsi="Times New Roman"/>
          <w:color w:val="000000"/>
          <w:sz w:val="24"/>
        </w:rPr>
        <w:t xml:space="preserve">) and must continue to own the Required Shares through the date of the annual meeting. For purposes of this </w:t>
      </w:r>
      <w:r>
        <w:rPr>
          <w:rFonts w:ascii="Times New Roman" w:hAnsi="Times New Roman"/>
          <w:color w:val="000000"/>
          <w:sz w:val="24"/>
          <w:u w:val="single"/>
        </w:rPr>
        <w:t>Section 1.18</w:t>
      </w:r>
      <w:r>
        <w:rPr>
          <w:rFonts w:ascii="Times New Roman" w:hAnsi="Times New Roman"/>
          <w:color w:val="000000"/>
          <w:sz w:val="24"/>
        </w:rPr>
        <w:t>, an Eligible Stockholder shall be deemed to “</w:t>
      </w:r>
      <w:r>
        <w:rPr>
          <w:rFonts w:ascii="Times New Roman" w:hAnsi="Times New Roman"/>
          <w:b/>
          <w:color w:val="000000"/>
          <w:sz w:val="24"/>
        </w:rPr>
        <w:t>own</w:t>
      </w:r>
      <w:r>
        <w:rPr>
          <w:rFonts w:ascii="Times New Roman" w:hAnsi="Times New Roman"/>
          <w:color w:val="000000"/>
          <w:sz w:val="20"/>
        </w:rPr>
        <w:t xml:space="preserve">” </w:t>
      </w:r>
      <w:r>
        <w:rPr>
          <w:rFonts w:ascii="Times New Roman" w:hAnsi="Times New Roman"/>
          <w:color w:val="000000"/>
          <w:sz w:val="24"/>
        </w:rPr>
        <w:t>only those outstanding shares of stock of the Corporation as to which the stockholder possesses both:</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the full voting and investment rights pertaining to the shares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rPr>
        <w:t>the full economic interest in (including the opportunity for profit from and risk of loss on) such shares, provided that the number of shares calculated in accordance with the immediately preceding clauses (i) and (ii) shall not include any shares: (A) sold by such stockholder or any of its affiliates in any transaction that has not been settled or closed, (B) borrowed by such stockholder or any of its affiliates for any purposes or purchased by such stockholder or any of its affiliates pursuant to an agreement to resell or (C)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stock of the Corporation, if, in any such case, such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w:t>
      </w:r>
      <w:r>
        <w:rPr>
          <w:rFonts w:ascii="Times New Roman" w:hAnsi="Times New Roman"/>
          <w:b/>
          <w:color w:val="000000"/>
          <w:sz w:val="24"/>
        </w:rPr>
        <w:t>own</w:t>
      </w:r>
      <w:r>
        <w:rPr>
          <w:color w:val="000000"/>
        </w:rPr>
        <w:t xml:space="preserve">” </w:t>
      </w:r>
      <w:r>
        <w:rPr>
          <w:rFonts w:ascii="Times New Roman" w:hAnsi="Times New Roman"/>
          <w:color w:val="000000"/>
          <w:sz w:val="24"/>
        </w:rPr>
        <w:t>shares held in the name of a nominee or other intermediary so long as the stockholder retains the right to instruct how the shares are voted with respect to the election of directors and possesses the full economic interest in the shares. A person’s ownership of shares shall be deemed to continue during any period in which (i) the stockholder has loaned such shares, provided that the person has the power to recall such loaned shares on five (5) business days’ notice or (ii) the stockholder has delegated any voting power by means of a proxy, power of attorney or other instrument or arrangement which is revocable at any time by the stockholder. The terms “</w:t>
      </w:r>
      <w:r>
        <w:rPr>
          <w:rFonts w:ascii="Times New Roman" w:hAnsi="Times New Roman"/>
          <w:b/>
          <w:color w:val="000000"/>
          <w:sz w:val="24"/>
        </w:rPr>
        <w:t>owned</w:t>
      </w:r>
      <w:r>
        <w:rPr>
          <w:rFonts w:ascii="Times New Roman" w:hAnsi="Times New Roman"/>
          <w:color w:val="000000"/>
          <w:sz w:val="24"/>
        </w:rPr>
        <w:t>,” “</w:t>
      </w:r>
      <w:r>
        <w:rPr>
          <w:rFonts w:ascii="Times New Roman" w:hAnsi="Times New Roman"/>
          <w:b/>
          <w:color w:val="000000"/>
          <w:sz w:val="24"/>
        </w:rPr>
        <w:t>owning</w:t>
      </w:r>
      <w:r>
        <w:rPr>
          <w:color w:val="000000"/>
        </w:rPr>
        <w:t xml:space="preserve">” </w:t>
      </w:r>
      <w:r>
        <w:rPr>
          <w:rFonts w:ascii="Times New Roman" w:hAnsi="Times New Roman"/>
          <w:color w:val="000000"/>
          <w:sz w:val="24"/>
        </w:rPr>
        <w:t>and other variations of the word “</w:t>
      </w:r>
      <w:r>
        <w:rPr>
          <w:rFonts w:ascii="Times New Roman" w:hAnsi="Times New Roman"/>
          <w:b/>
          <w:color w:val="000000"/>
          <w:sz w:val="24"/>
        </w:rPr>
        <w:t>own</w:t>
      </w:r>
      <w:r>
        <w:rPr>
          <w:color w:val="000000"/>
        </w:rPr>
        <w:t xml:space="preserve">” </w:t>
      </w:r>
      <w:r>
        <w:rPr>
          <w:rFonts w:ascii="Times New Roman" w:hAnsi="Times New Roman"/>
          <w:color w:val="000000"/>
          <w:sz w:val="24"/>
        </w:rPr>
        <w:t>shall have correlative meanings. Whether outstanding shares of the stock of the Corporation are “</w:t>
      </w:r>
      <w:r>
        <w:rPr>
          <w:rFonts w:ascii="Times New Roman" w:hAnsi="Times New Roman"/>
          <w:b/>
          <w:color w:val="000000"/>
          <w:sz w:val="24"/>
        </w:rPr>
        <w:t>owned</w:t>
      </w:r>
      <w:r>
        <w:rPr>
          <w:color w:val="000000"/>
        </w:rPr>
        <w:t xml:space="preserve">” </w:t>
      </w:r>
      <w:r>
        <w:rPr>
          <w:rFonts w:ascii="Times New Roman" w:hAnsi="Times New Roman"/>
          <w:color w:val="000000"/>
          <w:sz w:val="24"/>
        </w:rPr>
        <w:t xml:space="preserve">for these purposes shall be determined by the Board or any committee thereof. For purposes of this </w:t>
      </w:r>
      <w:r>
        <w:rPr>
          <w:rFonts w:ascii="Times New Roman" w:hAnsi="Times New Roman"/>
          <w:color w:val="000000"/>
          <w:sz w:val="24"/>
          <w:u w:val="single"/>
        </w:rPr>
        <w:t>Section 1.18</w:t>
      </w:r>
      <w:r>
        <w:rPr>
          <w:rFonts w:ascii="Times New Roman" w:hAnsi="Times New Roman"/>
          <w:color w:val="000000"/>
          <w:sz w:val="24"/>
        </w:rPr>
        <w:t xml:space="preserve">, the term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or “</w:t>
      </w:r>
      <w:r>
        <w:rPr>
          <w:rFonts w:ascii="Times New Roman" w:hAnsi="Times New Roman"/>
          <w:b/>
          <w:color w:val="000000"/>
          <w:sz w:val="24"/>
        </w:rPr>
        <w:t>affiliates</w:t>
      </w:r>
      <w:r>
        <w:rPr>
          <w:color w:val="000000"/>
        </w:rPr>
        <w:t xml:space="preserve">” </w:t>
      </w:r>
      <w:r>
        <w:rPr>
          <w:rFonts w:ascii="Times New Roman" w:hAnsi="Times New Roman"/>
          <w:color w:val="000000"/>
          <w:sz w:val="24"/>
        </w:rPr>
        <w:t>shall have the meaning ascribed thereto under the General Rules and Regulations under the Exchange 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Requirements for a Group</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Whenever the Eligible Stockholder consists of a group of stockholders: (A) a group of funds under common management and control shall be treated as one stockholder, (B) each provision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that requires the Eligible Stockholder to provide any written statements, representations, undertakings, agreements or other instruments or to meet any other conditions shall be deemed to require each stockholder (including each individual fund that is a member of a group of funds treated as one stockholder) that is a member of such group to provide such statements, representations, undertakings, agreements or other instruments and to meet such other conditions (except that the members of such group may aggregate their shareholdings in order to meet the three percent (3%) ownership requirement of the “</w:t>
      </w:r>
      <w:r>
        <w:rPr>
          <w:rFonts w:ascii="Times New Roman" w:hAnsi="Times New Roman"/>
          <w:b/>
          <w:color w:val="000000"/>
          <w:sz w:val="24"/>
        </w:rPr>
        <w:t>Required Shares</w:t>
      </w:r>
      <w:r>
        <w:rPr>
          <w:rFonts w:ascii="Times New Roman" w:hAnsi="Times New Roman"/>
          <w:color w:val="000000"/>
          <w:sz w:val="20"/>
        </w:rPr>
        <w:t xml:space="preserve">” </w:t>
      </w:r>
      <w:r>
        <w:rPr>
          <w:rFonts w:ascii="Times New Roman" w:hAnsi="Times New Roman"/>
          <w:color w:val="000000"/>
          <w:sz w:val="24"/>
        </w:rPr>
        <w:t xml:space="preserve">definition), (C) a breach of any obligation, agreement or representation under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by any member of such group shall be deemed a breach by the Eligible Stockholder and (D) the Notice of Proxy Access Nomination must designate one member of the group for purposes of receiving communications, notices and inquiries from the Corporation and otherwise authorize such member to act on behalf of all members of the group with respect to all matters relating to the nomination under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(including withdrawal of the nomination).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(ii) Whenever the Eligible Stockholder consists of a group of stockholders aggregating their shareholdings in order to meet the three percent (3%) ownership requirement of the “</w:t>
      </w:r>
      <w:r>
        <w:rPr>
          <w:rFonts w:ascii="Times New Roman" w:hAnsi="Times New Roman"/>
          <w:b/>
          <w:color w:val="000000"/>
          <w:sz w:val="24"/>
        </w:rPr>
        <w:t>Required Shares</w:t>
      </w:r>
      <w:r>
        <w:rPr>
          <w:rFonts w:ascii="Times New Roman" w:hAnsi="Times New Roman"/>
          <w:color w:val="000000"/>
          <w:sz w:val="20"/>
        </w:rPr>
        <w:t xml:space="preserve">” </w:t>
      </w:r>
      <w:r>
        <w:rPr>
          <w:rFonts w:ascii="Times New Roman" w:hAnsi="Times New Roman"/>
          <w:color w:val="000000"/>
          <w:sz w:val="24"/>
        </w:rPr>
        <w:t xml:space="preserve">definition in clause (c) of this </w:t>
      </w:r>
      <w:r>
        <w:rPr>
          <w:rFonts w:ascii="Times New Roman" w:hAnsi="Times New Roman"/>
          <w:color w:val="000000"/>
          <w:sz w:val="24"/>
          <w:u w:val="single"/>
        </w:rPr>
        <w:t>Section 1.18</w:t>
      </w:r>
      <w:r>
        <w:rPr>
          <w:rFonts w:ascii="Times New Roman" w:hAnsi="Times New Roman"/>
          <w:color w:val="000000"/>
          <w:sz w:val="24"/>
        </w:rPr>
        <w:t>: (A) such ownership shall be determined by aggregating the lowest number of shares continuously owned by each such stockholder during the Minimum Holding Period and (B) the Notice of Proxy Access Nomination must indicate, for each such stockholder, such lowest number of shares continuously owned by such stockholder during the Minimum Holding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(iii) Any group of funds whose shares are aggregated for purposes of constituting an Eligible Stockholder must, within five (5) business days after the date of the Notice of Proxy Access Nomination, provide documentation reasonably satisfactory to the Corporation that demonstrates that the funds are under common management and investment control. No person may be a member of more than one group of stockholders constituting an Eligible Stockholder with respect to any annual meeting. For the avoidance of doubt, a stockholder may withdraw from a group of stockholders constituting an Eligible Stockholder at any time prior to the annual meeting and if, as a result of such withdrawal, the Eligible Stockholder no longer owns the Required Shares, the nomination shall be disregarded as provided in clause (j)(1)(H) of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Deadline for Notice of Proxy Access Nomination</w:t>
      </w:r>
      <w:r>
        <w:rPr>
          <w:rFonts w:ascii="Times New Roman" w:hAnsi="Times New Roman"/>
          <w:color w:val="000000"/>
          <w:sz w:val="24"/>
        </w:rPr>
        <w:t xml:space="preserve">. Nominations by stockholders pursuant to this </w:t>
      </w:r>
      <w:r>
        <w:rPr>
          <w:rFonts w:ascii="Times New Roman" w:hAnsi="Times New Roman"/>
          <w:color w:val="000000"/>
          <w:sz w:val="24"/>
          <w:u w:val="single"/>
        </w:rPr>
        <w:t>Section 1.18</w:t>
      </w:r>
      <w:r>
        <w:rPr>
          <w:rFonts w:ascii="Times New Roman" w:hAnsi="Times New Roman"/>
          <w:color w:val="000000"/>
          <w:sz w:val="24"/>
        </w:rPr>
        <w:t xml:space="preserve">, must be made pursuant to timely notice to the Secretary of the Corporation in accordance with this </w:t>
      </w:r>
      <w:r>
        <w:rPr>
          <w:rFonts w:ascii="Times New Roman" w:hAnsi="Times New Roman"/>
          <w:color w:val="000000"/>
          <w:sz w:val="24"/>
          <w:u w:val="single"/>
        </w:rPr>
        <w:t>Section 1.18</w:t>
      </w:r>
      <w:r>
        <w:rPr>
          <w:rFonts w:ascii="Times New Roman" w:hAnsi="Times New Roman"/>
          <w:color w:val="000000"/>
          <w:sz w:val="24"/>
        </w:rPr>
        <w:t xml:space="preserve">. To be timely, a Notice of Proxy Access Nomination must be delivered to or mailed to and received by the Secretary of the Corporation at the principal executive offices of the Corporation not earlier than the close of business on the one hundred fiftieth (150th) day nor later than the close of business on the one hundred twentieth (120th) day prior to the first anniversary of the date (as stated in the Corporation’s proxy materials) the definitive proxy statement was first made available to stockholders in connection with the preceding year’s annual meeting;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the date of the annual meeting is more than thirty (30) days before or more than seventy (70) days after such anniversary date, a Notice of Proxy Access Nomination to be timely must be received not earlier than the close of business on the one hundred fiftieth (150th) day prior to such annual meeting and not later than the close of business on the later of the one hundred twentieth (120th) day prior to such annual meeting or the tenth (10th) day following the date on which notice of the date of the meeting was mailed or public disclosure of the meeting was made, whichever first occurs. In no event shall the adjournment or postponement of an annual meeting, or the public announcement of such an adjournment or postponement, commence a new time period (or extend any time period) for the giving of a Notice of Proxy Access Nomination pursuant to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Requirements for Notice of Proxy Access Nomination</w:t>
      </w:r>
      <w:r>
        <w:rPr>
          <w:rFonts w:ascii="Times New Roman" w:hAnsi="Times New Roman"/>
          <w:color w:val="000000"/>
          <w:sz w:val="24"/>
        </w:rPr>
        <w:t xml:space="preserve">. To be in proper form for purposes of this </w:t>
      </w:r>
      <w:r>
        <w:rPr>
          <w:rFonts w:ascii="Times New Roman" w:hAnsi="Times New Roman"/>
          <w:color w:val="000000"/>
          <w:sz w:val="24"/>
          <w:u w:val="single"/>
        </w:rPr>
        <w:t>Section 1.18</w:t>
      </w:r>
      <w:r>
        <w:rPr>
          <w:rFonts w:ascii="Times New Roman" w:hAnsi="Times New Roman"/>
          <w:color w:val="000000"/>
          <w:sz w:val="24"/>
        </w:rPr>
        <w:t>, the Notice of Proxy Access Nomination must include or be accompanied by the following: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the information and representations that would be required to be set forth in a stockholder’s notice of a nomination pursuant to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of these Bylaws,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the written consent of each Stockholder Nominee to be named in the proxy statement as a nominee and to serve as a director if elected, in form and substance reasonably satisfactory to the Corporation,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(iii) in form and substance reasonably satisfactory to the Corporation, one or more written statements from the record holder of the Required Shares (and from each intermediary through which the Required Shares are or have been held during the Minimum Holding Period) verifying that the Eligible Stockholder owns, and has owned continuously for the Minimum Holding Period, the Required Shares, and the Eligible Stockholder’s agreement to provide one or more written statements from the record holder and such intermediaries verifying the Eligible Stockholder’s continuous ownership of the Required Shares through the record date for determining the stockholders entitled to receive notice of the annual meeting, which statements must be provided within five (5) business days after the record date,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(iv) a copy of the Schedule 14N that has been filed with the Securities and Exchange Commission as required by Rule 14a-18 under the Exchange Act,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(v) a representation in form and substance reasonably satisfactory to the Corporation that the Eligible Stockholder: (A) will continue to hold the Required Shares through the date of the annual meeting, (B) acquired the Required Shares in the ordinary course of business and not with the intent to change or influence control at the Corporation, and does not presently have such intent, (C) has not nominated and will not nominate for election to the Board at the annual meeting any person other than the Stockholder Nominee(s) it is nominating pursuant to this </w:t>
      </w:r>
      <w:r>
        <w:rPr>
          <w:rFonts w:ascii="Times New Roman" w:hAnsi="Times New Roman"/>
          <w:color w:val="000000"/>
          <w:sz w:val="24"/>
          <w:u w:val="single"/>
        </w:rPr>
        <w:t>Section 1.18</w:t>
      </w:r>
      <w:r>
        <w:rPr>
          <w:rFonts w:ascii="Times New Roman" w:hAnsi="Times New Roman"/>
          <w:color w:val="000000"/>
          <w:sz w:val="24"/>
        </w:rPr>
        <w:t>, (D)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(G) will file with the Securities and Exchange Commission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for such solicitation or other communication under Regulation 14A of the Exchange Act and (H) has provided and will provide facts, statements and other information in all communications with the Corporation and its stockholders that are or will be true and correct in all material respects and do not and will not omit to state a material fact necessary in order to make such information, in light of the circumstances under which it was or will be made or provided, not misleading,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(vi) an undertaking in form and substance reasonably satisfactory to the Corporation that the Eligible Stockholder agrees to: (A) assume all liability stemming from any legal or regulatory violation arising out of communications with the stockholders of the Corporation by the Eligible Stockholder, its affiliates and associates or their respective agents and representatives, either before or after providing a Notice of Proxy Access Nomination pursuant to this </w:t>
      </w:r>
      <w:r>
        <w:rPr>
          <w:rFonts w:ascii="Times New Roman" w:hAnsi="Times New Roman"/>
          <w:color w:val="000000"/>
          <w:sz w:val="24"/>
          <w:u w:val="single"/>
        </w:rPr>
        <w:t>Section 1.18</w:t>
      </w:r>
      <w:r>
        <w:rPr>
          <w:rFonts w:ascii="Times New Roman" w:hAnsi="Times New Roman"/>
          <w:color w:val="000000"/>
          <w:sz w:val="24"/>
        </w:rPr>
        <w:t xml:space="preserve">, or out of the facts, statements or other information that the Eligible Stockholder or its Stockholder Nominee(s) provided to the Corporation in connection with the inclusion of such Stockholder Nominee(s) in the Corporation’s proxy materials, and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Times New Roman" w:hAnsi="Times New Roman"/>
          <w:color w:val="000000"/>
          <w:sz w:val="24"/>
          <w:u w:val="single"/>
        </w:rPr>
        <w:t>Section 1.18</w:t>
      </w:r>
      <w:r>
        <w:rPr>
          <w:rFonts w:ascii="Times New Roman" w:hAnsi="Times New Roman"/>
          <w:color w:val="000000"/>
          <w:sz w:val="24"/>
        </w:rPr>
        <w: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(vii) a written representation and agreement in form and substance reasonably satisfactory to the Corporation from each Stockholder Nominee that such Stockholder Nominee: (A) is not and will not become a party to (1) any agreement, arrangement or understanding with, and has not given any commitment or assurance to, any person or entity as to how such Stockholder Nominee, if elected as a director of the Corporation will act or vote on any issue or question (a “</w:t>
      </w:r>
      <w:r>
        <w:rPr>
          <w:rFonts w:ascii="Times New Roman" w:hAnsi="Times New Roman"/>
          <w:b/>
          <w:color w:val="000000"/>
          <w:sz w:val="24"/>
        </w:rPr>
        <w:t>Voting Commitment</w:t>
      </w:r>
      <w:r>
        <w:rPr>
          <w:rFonts w:ascii="Times New Roman" w:hAnsi="Times New Roman"/>
          <w:color w:val="000000"/>
          <w:sz w:val="20"/>
        </w:rPr>
        <w:t>”</w:t>
      </w:r>
      <w:r>
        <w:rPr>
          <w:rFonts w:ascii="Times New Roman" w:hAnsi="Times New Roman"/>
          <w:color w:val="000000"/>
          <w:sz w:val="24"/>
        </w:rPr>
        <w:t>) that has not been disclosed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to the Corporation or (2) any Voting Commitment that could limit or interfere with such Stockholder Nominee’s ability to comply, if elected as a director of the Corporation, with such Stockholder Nominee’s fiduciary duties under applicable law, (B) has not been during the past three (3) years, is not and will not become a party to any agreement, arrangement or understanding with any person or entity other than the Corporation with respect to any direct or indirect compensation, reimbursement or indemnification in connection with service or action as a Stockholder Nominee that has not been disclosed to the Corporation, and is not and will not become a party to any agreement, arrangement or understanding with any person other than the Corporation with respect to any direct or indirect compensation, reimbursement or indemnification in connection with service or action as a director, (C) has read, would be in compliance with if elected as a director of the Corporation and will comply with the Corporation’s code of business conduct, corporate governance guidelines, share ownership guidelines, insider trading policy, confidentiality and any other policies or guidelines of the Corporation applicable to directors, and (D) will make such other acknowledgments, enter into such agreements and provide such information as the Board requires of all directors, including promptly submitting all completed and signed questionnaires required of the Corporation’s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Additional Information that May be Required</w:t>
      </w:r>
      <w:r>
        <w:rPr>
          <w:rFonts w:ascii="Times New Roman" w:hAnsi="Times New Roman"/>
          <w:color w:val="000000"/>
          <w:sz w:val="24"/>
        </w:rPr>
        <w:t xml:space="preserve">. In addition to the information required pursuant to clause (f)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or any other provision of these Bylaws, the Corporation also may require each Stockholder Nominee to furnish any other information: (i) that may reasonably be requested by the Corporation to determine whether the Stockholder Nominee would be independent under the rules and listing standards of the principal United States securities exchange(s) upon which the common stock of the Corporation is listed or traded, any applicable rules of the Securities and Exchange Commission or any publicly disclosed standards used by the Board in determining and disclosing the independence of the Corporation’s directors (collectively, the “</w:t>
      </w:r>
      <w:r>
        <w:rPr>
          <w:rFonts w:ascii="Times New Roman" w:hAnsi="Times New Roman"/>
          <w:b/>
          <w:color w:val="000000"/>
          <w:sz w:val="24"/>
        </w:rPr>
        <w:t>Independence Standards</w:t>
      </w:r>
      <w:r>
        <w:rPr>
          <w:rFonts w:ascii="Times New Roman" w:hAnsi="Times New Roman"/>
          <w:color w:val="000000"/>
          <w:sz w:val="20"/>
        </w:rPr>
        <w:t>”</w:t>
      </w:r>
      <w:r>
        <w:rPr>
          <w:rFonts w:ascii="Times New Roman" w:hAnsi="Times New Roman"/>
          <w:color w:val="000000"/>
          <w:sz w:val="24"/>
        </w:rPr>
        <w:t>), (ii) that could be material to a reasonable stockholder’s understanding of the independence, or lack thereof, of such Stockholder Nominee, or (iii) that may reasonably be required to determine the eligibility of such Stockholder Nominee to serve as a director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Supporting Statement</w:t>
      </w:r>
      <w:r>
        <w:rPr>
          <w:rFonts w:ascii="Times New Roman" w:hAnsi="Times New Roman"/>
          <w:color w:val="000000"/>
          <w:sz w:val="24"/>
        </w:rPr>
        <w:t>. The Eligible Stockholder may, at its option, provide to the Secretary of the Corporation, at the time the Notice of Proxy Access Nomination is provided, a written statement, not to exceed 500 words, in support of the Stockholder Nominee(s)’ candidacy (a “</w:t>
      </w:r>
      <w:r>
        <w:rPr>
          <w:rFonts w:ascii="Times New Roman" w:hAnsi="Times New Roman"/>
          <w:b/>
          <w:color w:val="000000"/>
          <w:sz w:val="24"/>
        </w:rPr>
        <w:t>Supporting Statement</w:t>
      </w:r>
      <w:r>
        <w:rPr>
          <w:rFonts w:ascii="Times New Roman" w:hAnsi="Times New Roman"/>
          <w:color w:val="000000"/>
          <w:sz w:val="20"/>
        </w:rPr>
        <w:t>”</w:t>
      </w:r>
      <w:r>
        <w:rPr>
          <w:rFonts w:ascii="Times New Roman" w:hAnsi="Times New Roman"/>
          <w:color w:val="000000"/>
          <w:sz w:val="24"/>
        </w:rPr>
        <w:t xml:space="preserve">). Only one Supporting Statement may be submitted by an Eligible Stockholder (including any group of stockholders together constituting an Eligible Stockholder) in support of its Stockholder Nominee(s). Notwithstanding anything to the contrary contained in this </w:t>
      </w:r>
      <w:r>
        <w:rPr>
          <w:rFonts w:ascii="Times New Roman" w:hAnsi="Times New Roman"/>
          <w:color w:val="000000"/>
          <w:sz w:val="24"/>
          <w:u w:val="single"/>
        </w:rPr>
        <w:t>Section 1.18</w:t>
      </w:r>
      <w:r>
        <w:rPr>
          <w:rFonts w:ascii="Times New Roman" w:hAnsi="Times New Roman"/>
          <w:color w:val="000000"/>
          <w:sz w:val="24"/>
        </w:rPr>
        <w:t>, the Corporation may omit from its proxy materials any information or Supporting Statement (or portion thereof) that it believes would violate any applicable law or regulation.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Eligible Stockholder and Stockholder Nominee Duty to Update</w:t>
      </w:r>
      <w:r>
        <w:rPr>
          <w:rFonts w:ascii="Times New Roman" w:hAnsi="Times New Roman"/>
          <w:color w:val="000000"/>
          <w:sz w:val="24"/>
        </w:rPr>
        <w:t>. In the event that any information provided by an Eligible Stockholder or a Stockholder Nominee to the Corporation or its stockholders ceases to be true and correct in all material respects or omits a material fact necessary to make such information, in light of the circumstances under which it was made or provided, not misleading, such Eligible Stockholder or Stockholder Nominee, as the case may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shall promptly notify the Secretary of the Corporation of any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w:t>
      </w:r>
      <w:r>
        <w:rPr>
          <w:rFonts w:ascii="Times New Roman" w:hAnsi="Times New Roman"/>
          <w:color w:val="000000"/>
          <w:sz w:val="24"/>
          <w:u w:val="single"/>
        </w:rPr>
        <w:t>Section 1.18</w:t>
      </w:r>
      <w:r>
        <w:rPr>
          <w:rFonts w:ascii="Times New Roman" w:hAnsi="Times New Roman"/>
          <w:color w:val="000000"/>
          <w:sz w:val="24"/>
        </w:rPr>
        <w:t xml:space="preserve">). In addition, any person providing any information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shall further update and supplement such information, if necessary, so that all such information shall be true and correct as of the record date for determining the stockholders entitled to receive notice of the annual meeting and as of the date that is ten (10) business days prior to such annual meeting or any adjournment or postponement thereof, and such update and supplement (or a written certification that no such updates or supplements are necessary and that the information previously provided remains true and correct as of the applicable date) shall be delivered to or mailed to and received by the Secretary at the principal executive offices of the Corporation not later than five (5) business days after the record date for determining the stockholders entitled to receive notice of such annual meeting (in the case of the update and supplement required to be made as of the record date), and not later than seven (7) business days prior to the date of the annual meeting or any adjournment or postponement thereof (in the case of the update and supplement required to be made as of ten (10) business days prior to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Other Reasons to Exclude Stockholder Nominee</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Notwithstanding anything to the contrary contained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the Corporation shall not be required to include, pursuant to this </w:t>
      </w:r>
      <w:r>
        <w:rPr>
          <w:rFonts w:ascii="Times New Roman" w:hAnsi="Times New Roman"/>
          <w:color w:val="000000"/>
          <w:sz w:val="24"/>
          <w:u w:val="single"/>
        </w:rPr>
        <w:t>Section 1.18</w:t>
      </w:r>
      <w:r>
        <w:rPr>
          <w:rFonts w:ascii="Times New Roman" w:hAnsi="Times New Roman"/>
          <w:color w:val="000000"/>
          <w:sz w:val="24"/>
        </w:rPr>
        <w:t xml:space="preserve">, a Stockholder Nominee in its proxy materials: (A) for any meeting of stockholders for which the Secretary of the Corporation receives notice that the Eligible Stockholder or any other stockholder intends to nominate one or more persons for election to the Board pursuant to the advance notice requirements for stockholder nominees set forth in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of these Bylaws, (B) if such Stockholder Nominee would not be an independent director under the Independence Standards, as determined by the Board or any committee thereof, (C) if such Stockholder Nominee’s election as a member of the Board would cause the Corporation to be in violation of these Bylaws, the Certificate of Incorporation, the rules and listing standards of the principal United States securities exchange(s) upon which the common stock of the Corporation is listed or traded or any applicable state or federal law, rule or regulation, (D) if such Stockholder Nominee is or has been, within the past three (3) years, an officer or director of a competitor, as defined in Section 8 of the Clayton Antitrust Act of 1914, (E) who is a named subject of a pending criminal proceeding (excluding traffic violations and other minor offenses) or has been convicted in such a criminal proceeding within the past ten (10) years, (F) if such Stockholder Nominee is subject to any order of the type specified in Rule 506(d) of Regulation D promulgated under the Securities Act of 1933, as amended, (G) if such Stockholder Nominee or the Eligible Stockholder who nominated such Stockholder Nominee provides any facts, statements or other information to the Corporation or its stockholders required or requested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that is not true and correct in all material respects or that omits a material fact necessary to make such information, in light of the circumstances in which it is made or provided, not misleading, or (H) if such Stockholder Nominee or the Eligible Stockholder who nominated such Stockholder Nominee otherwise contravenes any of the agreements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representations made by such Stockholder Nominee or Eligible Stockholder or fails to comply with its obligations pursuant to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 Notwithstanding anything to the contrary contained in this </w:t>
      </w:r>
      <w:r>
        <w:rPr>
          <w:rFonts w:ascii="Times New Roman" w:hAnsi="Times New Roman"/>
          <w:color w:val="000000"/>
          <w:sz w:val="24"/>
          <w:u w:val="single"/>
        </w:rPr>
        <w:t>Section 1.18</w:t>
      </w:r>
      <w:r>
        <w:rPr>
          <w:rFonts w:ascii="Times New Roman" w:hAnsi="Times New Roman"/>
          <w:color w:val="000000"/>
          <w:sz w:val="24"/>
        </w:rPr>
        <w:t xml:space="preserve">, if either: (A) a Stockholder Nominee and/or the applicable Eligible Stockholder breaches any of its or their obligations, agreements or representations under this </w:t>
      </w:r>
      <w:r>
        <w:rPr>
          <w:rFonts w:ascii="Times New Roman" w:hAnsi="Times New Roman"/>
          <w:color w:val="000000"/>
          <w:sz w:val="24"/>
          <w:u w:val="single"/>
        </w:rPr>
        <w:t>Section 1.18</w:t>
      </w:r>
      <w:r>
        <w:rPr>
          <w:rFonts w:ascii="Times New Roman" w:hAnsi="Times New Roman"/>
          <w:color w:val="000000"/>
          <w:sz w:val="24"/>
        </w:rPr>
        <w:t xml:space="preserve">, or (B) the Stockholder Nominee otherwise becomes ineligible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or dies, becomes disabled or is otherwise disqualified from being nominated for election or serving as a director of the Corporation, in each case under this clause (ii) as determined by the Board, any committee thereof or the chairperson of the annual meeting, then: (1)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(2) the Corporation shall not be required to include in its proxy materials for that annual meeting any successor or replacement nominee proposed by the applicable Eligible Stockholder or any other Eligible Stockholder, and (3) the Board or the chairperson of the annual meeting shall declare such nomination to be invalid, such nomination shall be disregarded notwithstanding that proxies in respect of such vote may have been received by the Corporation and the named proxies will not vote any proxies received from stockholders with respect to such Stockholder Nominee. In addition, if the Eligible Stockholder (or a representative thereof) does not appear at the annual meeting to present any nomination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such nomination shall be disregarded as provided in the immediately preceding clause (3).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Resubmission of Stockholder Nominee</w:t>
      </w:r>
      <w:r>
        <w:rPr>
          <w:rFonts w:ascii="Times New Roman" w:hAnsi="Times New Roman"/>
          <w:color w:val="000000"/>
          <w:sz w:val="24"/>
        </w:rPr>
        <w:t xml:space="preserve">. Any Stockholder Nominee who is included in the Corporation’s proxy materials for a particular annual meeting of stockholders but either (i) withdraws from or becomes ineligible or unavailable for election at the annual meeting or (ii) does not receive at least twenty five percent (25%) of the votes cast in favor of such Stockholder Nominee’s election, will be ineligible to be a Stockholder Nominee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for the next two (2) annual meetings of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Exclusivity</w:t>
      </w:r>
      <w:r>
        <w:rPr>
          <w:rFonts w:ascii="Times New Roman" w:hAnsi="Times New Roman"/>
          <w:color w:val="000000"/>
          <w:sz w:val="24"/>
        </w:rPr>
        <w:t xml:space="preserve">.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provides the exclusive method for a stockholder to include nominees for election to the Board in the Corporation’s proxy materials.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II</w:t>
        <w:br/>
      </w:r>
      <w:r>
        <w:rPr>
          <w:rFonts w:ascii="Times New Roman" w:hAnsi="Times New Roman"/>
          <w:caps/>
          <w:color w:val="000000"/>
          <w:sz w:val="24"/>
          <w:u w:val="single"/>
        </w:rPr>
        <w:t>DIRECTORS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 </w:t>
      </w:r>
      <w:r>
        <w:rPr>
          <w:rFonts w:ascii="Times New Roman" w:hAnsi="Times New Roman"/>
          <w:color w:val="000000"/>
          <w:sz w:val="24"/>
          <w:u w:val="single"/>
        </w:rPr>
        <w:t>Number</w:t>
      </w:r>
      <w:r>
        <w:rPr>
          <w:rFonts w:ascii="Times New Roman" w:hAnsi="Times New Roman"/>
          <w:color w:val="000000"/>
          <w:sz w:val="24"/>
        </w:rPr>
        <w:t>. The number of directors that shall constitute the entire Board shall not be less than five (5) nor more than fifteen (15). Within such limit, the number of members of the entire Board shall be fixed, from time to time, exclusively by the Board, subject to the rights of the holders of any series of preferred stock with respect to the election of directors, if any.</w:t>
      </w:r>
    </w:p>
    <w:p>
      <w:pPr>
        <w:pStyle w:val="TextBody"/>
        <w:bidi w:val="0"/>
        <w:jc w:val="both"/>
        <w:rPr>
          <w:rFonts w:ascii="Times New Roman" w:hAnsi="Times New Roman"/>
          <w:sz w:val="20"/>
        </w:rPr>
      </w:pPr>
      <w:r>
        <w:rPr>
          <w:rFonts w:ascii="Times New Roman" w:hAnsi="Times New Roman"/>
          <w:color w:val="000000"/>
          <w:sz w:val="24"/>
        </w:rPr>
        <w:t xml:space="preserve">Section 2.2. </w:t>
      </w:r>
      <w:r>
        <w:rPr>
          <w:rFonts w:ascii="Times New Roman" w:hAnsi="Times New Roman"/>
          <w:color w:val="000000"/>
          <w:sz w:val="24"/>
          <w:u w:val="single"/>
        </w:rPr>
        <w:t>Duties and Powers</w:t>
      </w:r>
      <w:r>
        <w:rPr>
          <w:rFonts w:ascii="Times New Roman" w:hAnsi="Times New Roman"/>
          <w:color w:val="000000"/>
          <w:sz w:val="24"/>
        </w:rPr>
        <w:t>. The business and affairs of the Corporation shall be managed by or under the direction of the Board which may exercise all such powers of the Corporation and do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all such lawful acts and things as are not by law, the Certificate of Incorporation or these Bylaws required to be exercised or done by the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2.3. </w:t>
      </w:r>
      <w:r>
        <w:rPr>
          <w:rFonts w:ascii="Times New Roman" w:hAnsi="Times New Roman"/>
          <w:color w:val="000000"/>
          <w:sz w:val="24"/>
          <w:u w:val="single"/>
        </w:rPr>
        <w:t>Meetings</w:t>
      </w:r>
      <w:r>
        <w:rPr>
          <w:rFonts w:ascii="Times New Roman" w:hAnsi="Times New Roman"/>
          <w:color w:val="000000"/>
          <w:sz w:val="24"/>
        </w:rPr>
        <w:t>. The Board may hold meetings, both regular and special, either within or without the State of Delaware. Regular meetings of the Board may be held without notice at such time and at such place as may from time to time be determined by the Board. Special meetings of the Board may be called by the Chairperson of the Board (if there be one), the Chief Executive Officer or the Board and shall be held at such place, on such date and at such time as he, she or they shall specify.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2.4. </w:t>
      </w:r>
      <w:r>
        <w:rPr>
          <w:rFonts w:ascii="Times New Roman" w:hAnsi="Times New Roman"/>
          <w:color w:val="000000"/>
          <w:sz w:val="24"/>
          <w:u w:val="single"/>
        </w:rPr>
        <w:t>Notice</w:t>
      </w:r>
      <w:r>
        <w:rPr>
          <w:rFonts w:ascii="Times New Roman" w:hAnsi="Times New Roman"/>
          <w:color w:val="000000"/>
          <w:sz w:val="24"/>
        </w:rPr>
        <w:t xml:space="preserve">. Notice of any meeting of the Board stating the place, date and time of the meeting shall be given to each director by mail posted not less than five (5) days before the date of the meeting, by nationally recognized overnight courier deposited not less than two (2) days before the date of the meeting or by email, facsimile or other means of electronic transmission delivered or sent not less than twenty-four (24) hours before the date and time of the meeting, or on such shorter notice as the person or persons calling such meeting may deem necessary or appropriate in the circumstances. If mailed or sent by overnight courier, such notice shall be deemed to be given at the time when it is deposited in the United States mail with first class postage prepaid or deposited with the overnight courier. Notice by facsimile or other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Neither the business to be transacted at, nor the purpose of, any regular or special meeting of the Board need be specified in any notice or waiver of notice of such meeting, unless so required by law. A meeting may be held at any time without notice if all of the directors are present or if those not present waive notice of the meeting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of these Bylaws.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2.5. </w:t>
      </w:r>
      <w:r>
        <w:rPr>
          <w:rFonts w:ascii="Times New Roman" w:hAnsi="Times New Roman"/>
          <w:color w:val="000000"/>
          <w:sz w:val="24"/>
          <w:u w:val="single"/>
        </w:rPr>
        <w:t>Chairperson of the Board</w:t>
      </w:r>
      <w:r>
        <w:rPr>
          <w:rFonts w:ascii="Times New Roman" w:hAnsi="Times New Roman"/>
          <w:color w:val="000000"/>
          <w:sz w:val="24"/>
        </w:rPr>
        <w:t xml:space="preserve">. The Chairperson of the Board shall be chosen from among the directors and may be the Chief Executive Officer. Except as otherwise provided by law, the Certificate of Incorporation or </w:t>
      </w:r>
      <w:r>
        <w:rPr>
          <w:rFonts w:ascii="Times New Roman" w:hAnsi="Times New Roman"/>
          <w:color w:val="000000"/>
          <w:sz w:val="24"/>
          <w:u w:val="single"/>
        </w:rPr>
        <w:t>Section 2.6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2.7</w:t>
      </w:r>
      <w:r>
        <w:rPr>
          <w:rFonts w:ascii="Times New Roman" w:hAnsi="Times New Roman"/>
          <w:color w:val="000000"/>
          <w:sz w:val="20"/>
        </w:rPr>
        <w:t xml:space="preserve"> </w:t>
      </w:r>
      <w:r>
        <w:rPr>
          <w:rFonts w:ascii="Times New Roman" w:hAnsi="Times New Roman"/>
          <w:color w:val="000000"/>
          <w:sz w:val="24"/>
        </w:rPr>
        <w:t>of these Bylaws, the Chairperson of the Board shall preside at all meetings of stockholders and of the Board. The Chairperson of the Board shall have such other powers and duties as may from time to time be assigned by the Board.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2.6. </w:t>
      </w:r>
      <w:r>
        <w:rPr>
          <w:rFonts w:ascii="Times New Roman" w:hAnsi="Times New Roman"/>
          <w:color w:val="000000"/>
          <w:sz w:val="24"/>
          <w:u w:val="single"/>
        </w:rPr>
        <w:t>Lead Director</w:t>
      </w:r>
      <w:r>
        <w:rPr>
          <w:rFonts w:ascii="Times New Roman" w:hAnsi="Times New Roman"/>
          <w:color w:val="000000"/>
          <w:sz w:val="24"/>
        </w:rPr>
        <w:t>. If the Chairperson of the Board does not qualify as independent in accordance with the applicable rules of any securities exchanges upon which the Corporation’s securities are listed, the Independent Directors (as defined below) shall appoint a Lead Director. The Lead Director shall be one of the directors who has been determined by the Board to be an “independent director” (any such director, an “</w:t>
      </w:r>
      <w:r>
        <w:rPr>
          <w:rFonts w:ascii="Times New Roman" w:hAnsi="Times New Roman"/>
          <w:b/>
          <w:color w:val="000000"/>
          <w:sz w:val="24"/>
        </w:rPr>
        <w:t>Independent Director</w:t>
      </w:r>
      <w:r>
        <w:rPr>
          <w:rFonts w:ascii="Times New Roman" w:hAnsi="Times New Roman"/>
          <w:color w:val="000000"/>
          <w:sz w:val="20"/>
        </w:rPr>
        <w:t>”</w:t>
      </w:r>
      <w:r>
        <w:rPr>
          <w:rFonts w:ascii="Times New Roman" w:hAnsi="Times New Roman"/>
          <w:color w:val="000000"/>
          <w:sz w:val="24"/>
        </w:rPr>
        <w:t>). The Lead Director shall preside at all executive sessions of the Board and any other meeting of the Board at which the Chairperson of the Board is not present and have such other responsibilities, and perform such duties, as may from time to time be assigned to him or her by the Board.</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Section 2.7. </w:t>
      </w:r>
      <w:r>
        <w:rPr>
          <w:rFonts w:ascii="Times New Roman" w:hAnsi="Times New Roman"/>
          <w:color w:val="000000"/>
          <w:sz w:val="24"/>
          <w:u w:val="single"/>
        </w:rPr>
        <w:t>Organization</w:t>
      </w:r>
      <w:r>
        <w:rPr>
          <w:rFonts w:ascii="Times New Roman" w:hAnsi="Times New Roman"/>
          <w:color w:val="000000"/>
          <w:sz w:val="24"/>
        </w:rPr>
        <w:t>. At each meeting of the Board, the Chairperson of the Board, or, in the Chairperson’s absence, the Lead Director (if any), or, in the Lead Director’s absence, a director chosen by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chairperson of the meeting may appoint any person to act as secretary of the meeting.</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2.8. </w:t>
      </w:r>
      <w:r>
        <w:rPr>
          <w:rFonts w:ascii="Times New Roman" w:hAnsi="Times New Roman"/>
          <w:color w:val="000000"/>
          <w:sz w:val="24"/>
          <w:u w:val="single"/>
        </w:rPr>
        <w:t>Resignations and Removals of Directors</w:t>
      </w:r>
      <w:r>
        <w:rPr>
          <w:rFonts w:ascii="Times New Roman" w:hAnsi="Times New Roman"/>
          <w:color w:val="000000"/>
          <w:sz w:val="24"/>
        </w:rPr>
        <w:t>.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 director may be removed from office by the stockholders of the Corporation only for cause.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2.9. </w:t>
      </w:r>
      <w:r>
        <w:rPr>
          <w:rFonts w:ascii="Times New Roman" w:hAnsi="Times New Roman"/>
          <w:color w:val="000000"/>
          <w:sz w:val="24"/>
          <w:u w:val="single"/>
        </w:rPr>
        <w:t>Quorum</w:t>
      </w:r>
      <w:r>
        <w:rPr>
          <w:rFonts w:ascii="Times New Roman" w:hAnsi="Times New Roman"/>
          <w:color w:val="000000"/>
          <w:sz w:val="24"/>
        </w:rPr>
        <w:t>. At all meetings of the Board, a majority of directors constituting the Board shall constitute a quorum for the transaction of business, and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2.10. </w:t>
      </w:r>
      <w:r>
        <w:rPr>
          <w:rFonts w:ascii="Times New Roman" w:hAnsi="Times New Roman"/>
          <w:color w:val="000000"/>
          <w:sz w:val="24"/>
          <w:u w:val="single"/>
        </w:rPr>
        <w:t>Actions of the Board by Written Consent</w:t>
      </w:r>
      <w:r>
        <w:rPr>
          <w:rFonts w:ascii="Times New Roman" w:hAnsi="Times New Roman"/>
          <w:color w:val="000000"/>
          <w:sz w:val="24"/>
        </w:rPr>
        <w:t>. Any action required or permitted to be taken at any meeting of the Board or of any committee thereof may be taken without a meeting, if all the members of the Board or committee, as the case may be, consent thereto in writing or by electronic transmission, and the writing or electronic transmission are filed with the minutes of proceedings of the Board or committee.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2.11. </w:t>
      </w:r>
      <w:r>
        <w:rPr>
          <w:rFonts w:ascii="Times New Roman" w:hAnsi="Times New Roman"/>
          <w:color w:val="000000"/>
          <w:sz w:val="24"/>
          <w:u w:val="single"/>
        </w:rPr>
        <w:t>Telephonic Meetings</w:t>
      </w:r>
      <w:r>
        <w:rPr>
          <w:rFonts w:ascii="Times New Roman" w:hAnsi="Times New Roman"/>
          <w:color w:val="000000"/>
          <w:sz w:val="24"/>
        </w:rPr>
        <w:t xml:space="preserve">.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pursuant to this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shall constitute presence in person at such meeting.</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2.12. </w:t>
      </w:r>
      <w:r>
        <w:rPr>
          <w:rFonts w:ascii="Times New Roman" w:hAnsi="Times New Roman"/>
          <w:color w:val="000000"/>
          <w:sz w:val="24"/>
          <w:u w:val="single"/>
        </w:rPr>
        <w:t>Committees</w:t>
      </w:r>
      <w:r>
        <w:rPr>
          <w:rFonts w:ascii="Times New Roman" w:hAnsi="Times New Roman"/>
          <w:color w:val="000000"/>
          <w:sz w:val="24"/>
        </w:rPr>
        <w:t>. The Board may designate one or more committees, each committee to consist of two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or disqualified member. Each committee shall keep regular minutes and report to the Board when required. A majority of directors present at any committee meeting at which a quorum is present may determine such committee’s action and fix the time and place of its meetings, unless the Board shall otherwise provide. Subject to any limitations provided in the Board resolutions establishing a committee of the Board, the Board shall have the power at any time to fill vacancies in, to change the membership of or to dissolve any such committee.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2.13. </w:t>
      </w:r>
      <w:r>
        <w:rPr>
          <w:rFonts w:ascii="Times New Roman" w:hAnsi="Times New Roman"/>
          <w:color w:val="000000"/>
          <w:sz w:val="24"/>
          <w:u w:val="single"/>
        </w:rPr>
        <w:t>Compensation</w:t>
      </w:r>
      <w:r>
        <w:rPr>
          <w:rFonts w:ascii="Times New Roman" w:hAnsi="Times New Roman"/>
          <w:color w:val="000000"/>
          <w:sz w:val="24"/>
        </w:rPr>
        <w:t>.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director from serving the Corporation in any other capacity and receiving compensation therefor. Directors who are full-time employees of the Corporation shall not receive any compensation for their service as director.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2.14. </w:t>
      </w:r>
      <w:r>
        <w:rPr>
          <w:rFonts w:ascii="Times New Roman" w:hAnsi="Times New Roman"/>
          <w:color w:val="000000"/>
          <w:sz w:val="24"/>
          <w:u w:val="single"/>
        </w:rPr>
        <w:t>Interested Directors</w:t>
      </w:r>
      <w:r>
        <w:rPr>
          <w:rFonts w:ascii="Times New Roman" w:hAnsi="Times New Roman"/>
          <w:color w:val="000000"/>
          <w:sz w:val="24"/>
        </w:rPr>
        <w:t>.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that authorizes the contract or transaction.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III</w:t>
        <w:br/>
      </w:r>
      <w:r>
        <w:rPr>
          <w:rFonts w:ascii="Times New Roman" w:hAnsi="Times New Roman"/>
          <w:caps/>
          <w:color w:val="000000"/>
          <w:sz w:val="24"/>
          <w:u w:val="single"/>
        </w:rPr>
        <w:t>OFFICERS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 </w:t>
      </w:r>
      <w:r>
        <w:rPr>
          <w:rFonts w:ascii="Times New Roman" w:hAnsi="Times New Roman"/>
          <w:color w:val="000000"/>
          <w:sz w:val="24"/>
          <w:u w:val="single"/>
        </w:rPr>
        <w:t>General</w:t>
      </w:r>
      <w:r>
        <w:rPr>
          <w:rFonts w:ascii="Times New Roman" w:hAnsi="Times New Roman"/>
          <w:color w:val="000000"/>
          <w:sz w:val="24"/>
        </w:rPr>
        <w:t>. The officers of the Corporation shall be chosen by the Board and shall be a Chief Executive Officer, a Chief Financial Officer, a Secretary and a Treasurer. The Board, in its discretion, may also appoint a President, a Controller and one or more Executive Vice Presidents, Senior Vice Presidents, Vice Presidents, Assistant Secretaries, Assistant Treasurers and such other officers as the Board from time to time may deem appropriate. The Chief Executive Officer, in his or her discretion, may also appoint any other officers as the Chief Executive Officer from time to time may deem appropriate, other than any Executive Officers (as defined under the Exchange Act). Any two or more offices may be held by the same person, but no officer may act in more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than one capacity where action of two or more officers is required. The officers of the Corporation need not be stockholders of the Corporation.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3.2. </w:t>
      </w:r>
      <w:r>
        <w:rPr>
          <w:rFonts w:ascii="Times New Roman" w:hAnsi="Times New Roman"/>
          <w:color w:val="000000"/>
          <w:sz w:val="24"/>
          <w:u w:val="single"/>
        </w:rPr>
        <w:t>Duties; Term</w:t>
      </w:r>
      <w:r>
        <w:rPr>
          <w:rFonts w:ascii="Times New Roman" w:hAnsi="Times New Roman"/>
          <w:color w:val="000000"/>
          <w:sz w:val="24"/>
        </w:rPr>
        <w:t xml:space="preserve">. The officers of the Corporation shall hold their offices for such terms and shall exercise such powers and perform such duties as shall be determined from time to time by the Board or, if provided in the following sections of this </w:t>
      </w:r>
      <w:r>
        <w:rPr>
          <w:rFonts w:ascii="Times New Roman" w:hAnsi="Times New Roman"/>
          <w:color w:val="000000"/>
          <w:sz w:val="24"/>
          <w:u w:val="single"/>
        </w:rPr>
        <w:t>Article III</w:t>
      </w:r>
      <w:r>
        <w:rPr>
          <w:rFonts w:ascii="Times New Roman" w:hAnsi="Times New Roman"/>
          <w:color w:val="000000"/>
          <w:sz w:val="24"/>
        </w:rPr>
        <w:t xml:space="preserve">, by the Chief Executive Officer, and each officer of the Corporation shall hold office until such officer’s successor is elected and qualified, or until such officer’s earlier death, resignation or removal. Any officer may be removed at any time by the Board, and any officer appointed by the Chief Executive Officer may be removed at any time by the Chief Executive Officer.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for the regular election to such office.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3.3. </w:t>
      </w:r>
      <w:r>
        <w:rPr>
          <w:rFonts w:ascii="Times New Roman" w:hAnsi="Times New Roman"/>
          <w:color w:val="000000"/>
          <w:sz w:val="24"/>
          <w:u w:val="single"/>
        </w:rPr>
        <w:t>Voting Securities Owned by the Corporation</w:t>
      </w:r>
      <w:r>
        <w:rPr>
          <w:rFonts w:ascii="Times New Roman" w:hAnsi="Times New Roman"/>
          <w:color w:val="000000"/>
          <w:sz w:val="24"/>
        </w:rPr>
        <w:t>. Powers of attorney, proxies, waivers of notice of meeting, consents and other instruments relating to securities owned by the Corporation may be executed in the name of and on behalf of the Corporation by the Chief Executive Officer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3.4. </w:t>
      </w:r>
      <w:r>
        <w:rPr>
          <w:rFonts w:ascii="Times New Roman" w:hAnsi="Times New Roman"/>
          <w:color w:val="000000"/>
          <w:sz w:val="24"/>
          <w:u w:val="single"/>
        </w:rPr>
        <w:t>Chief Executive Officer</w:t>
      </w:r>
      <w:r>
        <w:rPr>
          <w:rFonts w:ascii="Times New Roman" w:hAnsi="Times New Roman"/>
          <w:color w:val="000000"/>
          <w:sz w:val="24"/>
        </w:rPr>
        <w:t>. The Chief Executive Officer shall, subject to the control of the Board, have general supervision over the business of the Corporation and shall direct the affairs and policies of the Corporation. The Chief Executive Officer may also serve as the Chairperson of the Board or as President, if so elected by the Board. The Chief Executive Officer shall also perform such other duties and may exercise such other powers as may from time to time be assigned to such officer by these Bylaws or by the Board.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3.5. </w:t>
      </w:r>
      <w:r>
        <w:rPr>
          <w:rFonts w:ascii="Times New Roman" w:hAnsi="Times New Roman"/>
          <w:color w:val="000000"/>
          <w:sz w:val="24"/>
          <w:u w:val="single"/>
        </w:rPr>
        <w:t>President</w:t>
      </w:r>
      <w:r>
        <w:rPr>
          <w:rFonts w:ascii="Times New Roman" w:hAnsi="Times New Roman"/>
          <w:color w:val="000000"/>
          <w:sz w:val="24"/>
        </w:rPr>
        <w: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unless another officer has been expressly designated to do so by the Board. The President shall also perform such other duties and may exercise such other powers as may from time to time be assigned to such officer by these Bylaws,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3.6. </w:t>
      </w:r>
      <w:r>
        <w:rPr>
          <w:rFonts w:ascii="Times New Roman" w:hAnsi="Times New Roman"/>
          <w:color w:val="000000"/>
          <w:sz w:val="24"/>
          <w:u w:val="single"/>
        </w:rPr>
        <w:t>Chief Financial Officer</w:t>
      </w:r>
      <w:r>
        <w:rPr>
          <w:rFonts w:ascii="Times New Roman" w:hAnsi="Times New Roman"/>
          <w:color w:val="000000"/>
          <w:sz w:val="24"/>
        </w:rPr>
        <w:t>. The Chief Financial Officer shall be the principal financial officer of the Corporation. The Chief Financial Officer shall also perform such other duties and may exercise such other powers as may from time to time be assigned to such officer by the Board or the Chief Executive Officer.</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3.7. </w:t>
      </w:r>
      <w:r>
        <w:rPr>
          <w:rFonts w:ascii="Times New Roman" w:hAnsi="Times New Roman"/>
          <w:color w:val="000000"/>
          <w:sz w:val="24"/>
          <w:u w:val="single"/>
        </w:rPr>
        <w:t>Executive Vice Presidents, Senior Vice Presidents and Vice Presidents</w:t>
      </w:r>
      <w:r>
        <w:rPr>
          <w:rFonts w:ascii="Times New Roman" w:hAnsi="Times New Roman"/>
          <w:color w:val="000000"/>
          <w:sz w:val="24"/>
        </w:rPr>
        <w:t>. The Executive Vice Presidents (if any), Senior Vice Presidents (if any) and such other Vice Presidents as shall have been chosen by the Board or appointed by the Chief Executive Officer shall have such powers and shall perform such duties as shall be assigned to them by the Board or the Chief Executive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3.8. </w:t>
      </w:r>
      <w:r>
        <w:rPr>
          <w:rFonts w:ascii="Times New Roman" w:hAnsi="Times New Roman"/>
          <w:color w:val="000000"/>
          <w:sz w:val="24"/>
          <w:u w:val="single"/>
        </w:rPr>
        <w:t>Secretary</w:t>
      </w:r>
      <w:r>
        <w:rPr>
          <w:rFonts w:ascii="Times New Roman" w:hAnsi="Times New Roman"/>
          <w:color w:val="000000"/>
          <w:sz w:val="24"/>
        </w:rPr>
        <w:t>. The Secretary shall give the requisite notice of meetings of stockholders and directors and shall record the proceedings of such meetings, shall have the custody of the seal of the Corporation and shall affix it or cause it to be affixed to such instruments as require the seal and attest it and, besides the Secretary’s powers and duties prescribed by law, shall have such other powers and perform such other duties as shall be provided in these Bylaws or shall at any time be assigned to such officer by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3.9. </w:t>
      </w:r>
      <w:r>
        <w:rPr>
          <w:rFonts w:ascii="Times New Roman" w:hAnsi="Times New Roman"/>
          <w:color w:val="000000"/>
          <w:sz w:val="24"/>
          <w:u w:val="single"/>
        </w:rPr>
        <w:t>Controller</w:t>
      </w:r>
      <w:r>
        <w:rPr>
          <w:rFonts w:ascii="Times New Roman" w:hAnsi="Times New Roman"/>
          <w:color w:val="000000"/>
          <w:sz w:val="24"/>
        </w:rPr>
        <w:t>. The Controller shall have charge of the accounting affairs of the Corporation and shall also perform such other duties and may exercise such other powers as may from time to time be assigned to such officer by the Board, the Chief Executive Officer or the Chief Financial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3.10. </w:t>
      </w:r>
      <w:r>
        <w:rPr>
          <w:rFonts w:ascii="Times New Roman" w:hAnsi="Times New Roman"/>
          <w:color w:val="000000"/>
          <w:sz w:val="24"/>
          <w:u w:val="single"/>
        </w:rPr>
        <w:t>Treasurer</w:t>
      </w:r>
      <w:r>
        <w:rPr>
          <w:rFonts w:ascii="Times New Roman" w:hAnsi="Times New Roman"/>
          <w:color w:val="000000"/>
          <w:sz w:val="24"/>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be provided in these Bylaws or shall at any time be assigned to such officer by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3.11. </w:t>
      </w:r>
      <w:r>
        <w:rPr>
          <w:rFonts w:ascii="Times New Roman" w:hAnsi="Times New Roman"/>
          <w:color w:val="000000"/>
          <w:sz w:val="24"/>
          <w:u w:val="single"/>
        </w:rPr>
        <w:t>Assistant Secretaries</w:t>
      </w:r>
      <w:r>
        <w:rPr>
          <w:rFonts w:ascii="Times New Roman" w:hAnsi="Times New Roman"/>
          <w:color w:val="000000"/>
          <w:sz w:val="24"/>
        </w:rPr>
        <w:t>. Assistant Secretaries, if there be any, shall assist the Secretary in the discharge of the Secretary’s duties, shall have such powers and perform such other duties as shall at any time be assigned to them by the Board or the Chief Executive Officer and, in the absence or disability of the Secretary, shall perform the duties of the Secretary’s office, subject to the control of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3.12. </w:t>
      </w:r>
      <w:r>
        <w:rPr>
          <w:rFonts w:ascii="Times New Roman" w:hAnsi="Times New Roman"/>
          <w:color w:val="000000"/>
          <w:sz w:val="24"/>
          <w:u w:val="single"/>
        </w:rPr>
        <w:t>Assistant Treasurers</w:t>
      </w:r>
      <w:r>
        <w:rPr>
          <w:rFonts w:ascii="Times New Roman" w:hAnsi="Times New Roman"/>
          <w:color w:val="000000"/>
          <w:sz w:val="24"/>
        </w:rPr>
        <w:t>. Assistant Treasurers, if there be any, shall assist the Treasurer in the discharge of the Treasurer’s duties, shall have such powers and perform such other duties as shall at any time be assigned to them by the Board or the Chief Executive Officer and, in the absence or disability of the Treasurer, shall perform the duties of the Treasurer’s office, subject to the control of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3.13. </w:t>
      </w:r>
      <w:r>
        <w:rPr>
          <w:rFonts w:ascii="Times New Roman" w:hAnsi="Times New Roman"/>
          <w:color w:val="000000"/>
          <w:sz w:val="24"/>
          <w:u w:val="single"/>
        </w:rPr>
        <w:t>Other Officers</w:t>
      </w:r>
      <w:r>
        <w:rPr>
          <w:rFonts w:ascii="Times New Roman" w:hAnsi="Times New Roman"/>
          <w:color w:val="000000"/>
          <w:sz w:val="24"/>
        </w:rPr>
        <w:t>. Such other officers as the Board or the Chief Executive Officer may appoint shall perform such duties and have such powers as from time to time may be assigned to them by the Board or the Chief Executive Officer. The Board may delegate to any other officer of the Corporation the power to choose such other officers and to prescribe their respective duties and powers.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caps/>
          <w:color w:val="000000"/>
          <w:sz w:val="24"/>
        </w:rPr>
        <w:t>Article IV</w:t>
        <w:br/>
      </w:r>
      <w:r>
        <w:rPr>
          <w:rFonts w:ascii="Times New Roman" w:hAnsi="Times New Roman"/>
          <w:caps/>
          <w:color w:val="000000"/>
          <w:sz w:val="24"/>
          <w:u w:val="single"/>
        </w:rPr>
        <w:t>STOCK</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4.1. </w:t>
      </w:r>
      <w:r>
        <w:rPr>
          <w:rFonts w:ascii="Times New Roman" w:hAnsi="Times New Roman"/>
          <w:color w:val="000000"/>
          <w:sz w:val="24"/>
          <w:u w:val="single"/>
        </w:rPr>
        <w:t>Uncertificated Shares</w:t>
      </w:r>
      <w:r>
        <w:rPr>
          <w:rFonts w:ascii="Times New Roman" w:hAnsi="Times New Roman"/>
          <w:color w:val="000000"/>
          <w:sz w:val="24"/>
        </w:rPr>
        <w:t>. Unless otherwise provided by resolution of the Board, each class or series of shares of the Corporation’s capital stock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4.2. </w:t>
      </w:r>
      <w:r>
        <w:rPr>
          <w:rFonts w:ascii="Times New Roman" w:hAnsi="Times New Roman"/>
          <w:color w:val="000000"/>
          <w:sz w:val="24"/>
          <w:u w:val="single"/>
        </w:rPr>
        <w:t>Record Date</w:t>
      </w:r>
      <w:r>
        <w:rPr>
          <w:rFonts w:ascii="Times New Roman" w:hAnsi="Times New Roman"/>
          <w:color w:val="000000"/>
          <w:sz w:val="24"/>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the close of business on the day on which the Board adopts the resolution relating thereto.</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4.3. </w:t>
      </w:r>
      <w:r>
        <w:rPr>
          <w:rFonts w:ascii="Times New Roman" w:hAnsi="Times New Roman"/>
          <w:color w:val="000000"/>
          <w:sz w:val="24"/>
          <w:u w:val="single"/>
        </w:rPr>
        <w:t>Record Owners</w:t>
      </w:r>
      <w:r>
        <w:rPr>
          <w:rFonts w:ascii="Times New Roman" w:hAnsi="Times New Roman"/>
          <w:color w:val="000000"/>
          <w:sz w:val="24"/>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4.4. </w:t>
      </w:r>
      <w:r>
        <w:rPr>
          <w:rFonts w:ascii="Times New Roman" w:hAnsi="Times New Roman"/>
          <w:color w:val="000000"/>
          <w:sz w:val="24"/>
          <w:u w:val="single"/>
        </w:rPr>
        <w:t>Transfer and Registry Agents</w:t>
      </w:r>
      <w:r>
        <w:rPr>
          <w:rFonts w:ascii="Times New Roman" w:hAnsi="Times New Roman"/>
          <w:color w:val="000000"/>
          <w:sz w:val="24"/>
        </w:rPr>
        <w:t>. The Corporation may from time to time maintain one or more transfer offices or agencies and registry offices or agencies at such place or places as may be determined from time to time by the Board.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V</w:t>
        <w:br/>
      </w:r>
      <w:r>
        <w:rPr>
          <w:rFonts w:ascii="Times New Roman" w:hAnsi="Times New Roman"/>
          <w:caps/>
          <w:color w:val="000000"/>
          <w:sz w:val="24"/>
          <w:u w:val="single"/>
        </w:rPr>
        <w:t>MISCELLANEOUS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5.1. </w:t>
      </w:r>
      <w:r>
        <w:rPr>
          <w:rFonts w:ascii="Times New Roman" w:hAnsi="Times New Roman"/>
          <w:color w:val="000000"/>
          <w:sz w:val="24"/>
          <w:u w:val="single"/>
        </w:rPr>
        <w:t>Contracts</w:t>
      </w:r>
      <w:r>
        <w:rPr>
          <w:rFonts w:ascii="Times New Roman" w:hAnsi="Times New Roman"/>
          <w:color w:val="000000"/>
          <w:sz w:val="24"/>
        </w:rPr>
        <w:t>. The Board may authorize any officer or officers or any agent or agents to enter into any contract or execute and deliver any instrument or other document in the name of and on behalf of the Corporation, and such authority may be general or confined to specific instances.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5.2. </w:t>
      </w:r>
      <w:r>
        <w:rPr>
          <w:rFonts w:ascii="Times New Roman" w:hAnsi="Times New Roman"/>
          <w:color w:val="000000"/>
          <w:sz w:val="24"/>
          <w:u w:val="single"/>
        </w:rPr>
        <w:t>Disbursements</w:t>
      </w:r>
      <w:r>
        <w:rPr>
          <w:rFonts w:ascii="Times New Roman" w:hAnsi="Times New Roman"/>
          <w:color w:val="000000"/>
          <w:sz w:val="24"/>
        </w:rPr>
        <w:t>. All checks or demands for money and notes of the Corporation shall be signed by such officer or officers or such other person or persons as the Board may from time to time designate.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5.3. </w:t>
      </w:r>
      <w:r>
        <w:rPr>
          <w:rFonts w:ascii="Times New Roman" w:hAnsi="Times New Roman"/>
          <w:color w:val="000000"/>
          <w:sz w:val="24"/>
          <w:u w:val="single"/>
        </w:rPr>
        <w:t>Fiscal Year</w:t>
      </w:r>
      <w:r>
        <w:rPr>
          <w:rFonts w:ascii="Times New Roman" w:hAnsi="Times New Roman"/>
          <w:color w:val="000000"/>
          <w:sz w:val="24"/>
        </w:rPr>
        <w:t>. The fiscal year of the Corporation shall end on the 31st day of December in each year or on such other day as may be fixed from time to time by resolution of the Board.</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Section 5.4. </w:t>
      </w:r>
      <w:r>
        <w:rPr>
          <w:rFonts w:ascii="Times New Roman" w:hAnsi="Times New Roman"/>
          <w:color w:val="000000"/>
          <w:sz w:val="24"/>
          <w:u w:val="single"/>
        </w:rPr>
        <w:t>Corporate Seal</w:t>
      </w:r>
      <w:r>
        <w:rPr>
          <w:rFonts w:ascii="Times New Roman" w:hAnsi="Times New Roman"/>
          <w:color w:val="000000"/>
          <w:sz w:val="24"/>
        </w:rPr>
        <w:t>. The corporate seal shall have inscribed thereon the name of the Corporation, the year of its organization and the words “Corporate Seal, Delaware.” The seal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be used by causing it or a facsimile thereof to be impressed or affixed or otherwise reproduced.</w:t>
      </w:r>
    </w:p>
    <w:p>
      <w:pPr>
        <w:pStyle w:val="TextBody"/>
        <w:bidi w:val="0"/>
        <w:jc w:val="both"/>
        <w:rPr>
          <w:rFonts w:ascii="Times New Roman" w:hAnsi="Times New Roman"/>
          <w:sz w:val="20"/>
        </w:rPr>
      </w:pPr>
      <w:r>
        <w:rPr>
          <w:rFonts w:ascii="Times New Roman" w:hAnsi="Times New Roman"/>
          <w:color w:val="000000"/>
          <w:sz w:val="24"/>
        </w:rPr>
        <w:t xml:space="preserve">Section 5.5. </w:t>
      </w:r>
      <w:r>
        <w:rPr>
          <w:rFonts w:ascii="Times New Roman" w:hAnsi="Times New Roman"/>
          <w:color w:val="000000"/>
          <w:sz w:val="24"/>
          <w:u w:val="single"/>
        </w:rPr>
        <w:t>Offices</w:t>
      </w:r>
      <w:r>
        <w:rPr>
          <w:rFonts w:ascii="Times New Roman" w:hAnsi="Times New Roman"/>
          <w:color w:val="000000"/>
          <w:sz w:val="24"/>
        </w:rPr>
        <w:t>. The Corporation shall maintain a registered office inside the State of Delaware and may also have other offices outside or inside the State of Delaware. The books and records of the Corporation may be kept (subject to any applicable law) outside the State of Delaware at the principal executive offices of the Corporation or at such other place or places as may be designated from time to time by the Board.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5.6. </w:t>
      </w:r>
      <w:r>
        <w:rPr>
          <w:rFonts w:ascii="Times New Roman" w:hAnsi="Times New Roman"/>
          <w:color w:val="000000"/>
          <w:sz w:val="24"/>
          <w:u w:val="single"/>
        </w:rPr>
        <w:t>Waiver of Notice</w:t>
      </w:r>
      <w:r>
        <w:rPr>
          <w:rFonts w:ascii="Times New Roman" w:hAnsi="Times New Roman"/>
          <w:color w:val="000000"/>
          <w:sz w:val="24"/>
        </w:rPr>
        <w:t>. Whenever any notice is required to be given to any stockholder or director of the Corporation under the provisions of the DGCL or these Bylaws, a waiver thereof in writing, signed by the person or persons entitled to such notice, or a waiver by electronic transmission by the person or persons entitled to such notice, whether before or after 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VI</w:t>
        <w:br/>
      </w:r>
      <w:r>
        <w:rPr>
          <w:rFonts w:ascii="Times New Roman" w:hAnsi="Times New Roman"/>
          <w:caps/>
          <w:color w:val="000000"/>
          <w:sz w:val="24"/>
          <w:u w:val="single"/>
        </w:rPr>
        <w:t>AMENDMENTS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6.1. </w:t>
      </w:r>
      <w:r>
        <w:rPr>
          <w:rFonts w:ascii="Times New Roman" w:hAnsi="Times New Roman"/>
          <w:color w:val="000000"/>
          <w:sz w:val="24"/>
          <w:u w:val="single"/>
        </w:rPr>
        <w:t>Amendments</w:t>
      </w:r>
      <w:r>
        <w:rPr>
          <w:rFonts w:ascii="Times New Roman" w:hAnsi="Times New Roman"/>
          <w:color w:val="000000"/>
          <w:sz w:val="24"/>
        </w:rPr>
        <w:t>. These Bylaws may be adopted, amended, altered or repealed by the Board or by the stockholders by the affirmative vote of a majority of the voting power of all then outstanding shares of capital stock of the Corporation entitled to vote generally on such matter, voting as a single class.</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Adopted as of May 6, 2026.</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fbin-ex31_1.htm"/>
      <w:bookmarkStart w:id="22" w:name="ksfbin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David V. Barry,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for the quarter ended March 28, 2026 of Fortune Brands Innovations, Inc.;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May 7, 2026</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V. Barry</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V. Barry</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fbin-ex31_2.htm"/>
      <w:bookmarkStart w:id="24" w:name="ksfbin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rFonts w:ascii="Times New Roman" w:hAnsi="Times New Roman"/>
          <w:color w:val="000000"/>
          <w:sz w:val="20"/>
        </w:rPr>
      </w:pPr>
      <w:r>
        <w:rPr>
          <w:rFonts w:ascii="Times New Roman" w:hAnsi="Times New Roman"/>
          <w:color w:val="000000"/>
          <w:sz w:val="20"/>
        </w:rPr>
        <w:t>I, Ashley George,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for the quarter ended March 28, 2026 of Fortune Brands Innovations, Inc.;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May 7, 2026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George</w:t>
            </w:r>
          </w:p>
        </w:tc>
      </w:tr>
      <w:tr>
        <w:trPr/>
        <w:tc>
          <w:tcPr>
            <w:tcW w:w="2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bin-ex32.htm"/>
      <w:bookmarkStart w:id="26" w:name="ksfbinex32"/>
      <w:bookmarkEnd w:id="25"/>
      <w:bookmarkEnd w:id="26"/>
      <w:r>
        <w:rPr>
          <w:rFonts w:ascii="Times New Roman" w:hAnsi="Times New Roman"/>
          <w:b/>
          <w:color w:val="000000"/>
          <w:sz w:val="20"/>
        </w:rPr>
        <w:t>EXHIBIT 32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JOINT INTERIM CEO/CFO CERTIFICATE REQUIRED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the undersigned, the Interim Chief Executive Officer and the Interim Chief Financial Officer of Fortune Brands Innovations, Inc. (the “Company”), hereby certifies pursuant to 18 U.S.C. §1350, as adopted pursuant to Section 906 of the Sarbanes Oxley Act of 2002, that the Quarterly Report of the Company on Form 10-Q for the period ended March 28, 2026, as filed with the Securities and Exchange Commission on the date hereof (the “Report”), fully complies with the requirements of section 13(a) or 15(d) of the Securities Exchange Act of 1934 and that the information contained in the Report fairly presents, in all material respects, the financial condition and the results of operations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May 7, 2026</w:t>
      </w:r>
    </w:p>
    <w:p>
      <w:pPr>
        <w:pStyle w:val="TextBody"/>
        <w:bidi w:val="0"/>
        <w:jc w:val="both"/>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V. Barry</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V. Barry</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bl>
    <w:p>
      <w:pPr>
        <w:pStyle w:val="TextBody"/>
        <w:bidi w:val="0"/>
        <w:jc w:val="both"/>
        <w:rPr/>
      </w:pPr>
      <w:r>
        <w:rPr/>
        <w:t> </w:t>
      </w:r>
    </w:p>
    <w:p>
      <w:pPr>
        <w:pStyle w:val="TextBody"/>
        <w:bidi w:val="0"/>
        <w:jc w:val="both"/>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Fortune Brands Innovations, Inc. and will be retained by Fortune Brands Innovations, Inc. and furnished to the Securities and Exchange Commission or its staff upon request.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36004</Words>
  <Characters>191051</Characters>
  <CharactersWithSpaces>228156</CharactersWithSpaces>
  <Paragraphs>5100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