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fbin-20260507.htm"/>
      <w:bookmarkStart w:id="1" w:name="ksfbin2026050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07,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FORTUNE BRANDS INNOVATIONS,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1-35166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62-1411546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 Horizon 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Building N</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Deerfield,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60015-3888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847</w:t>
            </w:r>
            <w:r>
              <w:rPr>
                <w:rFonts w:ascii="Times New Roman" w:hAnsi="Times New Roman"/>
                <w:color w:val="000000"/>
                <w:sz w:val="20"/>
              </w:rPr>
              <w:t xml:space="preserve"> </w:t>
            </w:r>
            <w:r>
              <w:rPr>
                <w:rFonts w:ascii="Times New Roman" w:hAnsi="Times New Roman"/>
                <w:b/>
                <w:color w:val="000000"/>
                <w:sz w:val="20"/>
              </w:rPr>
              <w:t>484-4400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FBIN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May 7, 2026, Fortune Brands Innovations, Inc. (the “Company”) issued a press release reporting the Company’s first quarter 2026 results, as well as certain guidance for 2026. A copy of the Company’s press release is being furnished as Exhibit 99.1 to this Current Report on Form 8-K and is hereby incorporated herein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furnished pursuant to this Item 2.02, including Exhibit 99.1, shall not be deemed to be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858" w:type="dxa"/>
        <w:jc w:val="left"/>
        <w:tblInd w:w="0" w:type="dxa"/>
        <w:tblLayout w:type="fixed"/>
        <w:tblCellMar>
          <w:top w:w="28" w:type="dxa"/>
          <w:left w:w="28" w:type="dxa"/>
          <w:bottom w:w="28" w:type="dxa"/>
          <w:right w:w="28" w:type="dxa"/>
        </w:tblCellMar>
      </w:tblPr>
      <w:tblGrid>
        <w:gridCol w:w="1066"/>
        <w:gridCol w:w="146"/>
        <w:gridCol w:w="664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fbin-ex99_1.htm">
              <w:r>
                <w:rPr>
                  <w:rStyle w:val="InternetLink"/>
                  <w:rFonts w:ascii="Times New Roman" w:hAnsi="Times New Roman"/>
                  <w:color w:val="0000FF"/>
                  <w:sz w:val="20"/>
                  <w:u w:val="single"/>
                </w:rPr>
                <w:t>Press Release dated May 7, 2026, issued by Fortune Brands Innovations, Inc.</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989" w:type="dxa"/>
        <w:jc w:val="left"/>
        <w:tblInd w:w="0" w:type="dxa"/>
        <w:tblLayout w:type="fixed"/>
        <w:tblCellMar>
          <w:top w:w="28" w:type="dxa"/>
          <w:left w:w="28" w:type="dxa"/>
          <w:bottom w:w="28" w:type="dxa"/>
          <w:right w:w="28" w:type="dxa"/>
        </w:tblCellMar>
      </w:tblPr>
      <w:tblGrid>
        <w:gridCol w:w="556"/>
        <w:gridCol w:w="1141"/>
        <w:gridCol w:w="631"/>
        <w:gridCol w:w="366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FORTUNE BRANDS INNOVATIONS,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7,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66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Ashley George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66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Ashley George</w:t>
              <w:br/>
              <w:t>Interim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fbin-ex99_1.htm"/>
      <w:bookmarkStart w:id="3" w:name="ksfbinex99_1"/>
      <w:bookmarkEnd w:id="2"/>
      <w:bookmarkEnd w:id="3"/>
      <w:r>
        <w:rPr>
          <w:rFonts w:ascii="Times New Roman" w:hAnsi="Times New Roman"/>
          <w:b/>
          <w:color w:val="000000"/>
          <w:sz w:val="20"/>
        </w:rPr>
        <w:t>EXHIBIT 99.1</w:t>
      </w:r>
      <w:r>
        <w:br w:type="page"/>
      </w:r>
    </w:p>
    <w:p>
      <w:pPr>
        <w:pStyle w:val="TextBody"/>
        <w:bidi w:val="0"/>
        <w:spacing w:before="200" w:after="283"/>
        <w:jc w:val="center"/>
        <w:rPr/>
      </w:pPr>
      <w:r>
        <w:rPr/>
        <w:drawing>
          <wp:inline distT="0" distB="0" distL="0" distR="0">
            <wp:extent cx="292417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24175" cy="609600"/>
                    </a:xfrm>
                    <a:prstGeom prst="rect">
                      <a:avLst/>
                    </a:prstGeom>
                  </pic:spPr>
                </pic:pic>
              </a:graphicData>
            </a:graphic>
          </wp:inline>
        </w:drawing>
      </w:r>
    </w:p>
    <w:p>
      <w:pPr>
        <w:pStyle w:val="TextBody"/>
        <w:bidi w:val="0"/>
        <w:spacing w:before="200" w:after="283"/>
        <w:jc w:val="center"/>
        <w:rPr/>
      </w:pPr>
      <w:r>
        <w:rPr/>
        <w:t> </w:t>
      </w:r>
    </w:p>
    <w:p>
      <w:pPr>
        <w:pStyle w:val="TextBody"/>
        <w:bidi w:val="0"/>
        <w:jc w:val="center"/>
        <w:rPr>
          <w:rFonts w:ascii="Times New Roman" w:hAnsi="Times New Roman"/>
          <w:sz w:val="20"/>
        </w:rPr>
      </w:pPr>
      <w:r>
        <w:rPr>
          <w:rFonts w:ascii="Onest;sans-serif" w:hAnsi="Onest;sans-serif"/>
          <w:b/>
          <w:color w:val="000000"/>
          <w:sz w:val="27"/>
        </w:rPr>
        <w:t xml:space="preserve">Fortune Brands </w:t>
      </w:r>
      <w:r>
        <w:rPr>
          <w:rFonts w:ascii="Onest;sans-serif" w:hAnsi="Onest;sans-serif"/>
          <w:b/>
          <w:color w:val="000000"/>
          <w:sz w:val="28"/>
        </w:rPr>
        <w:t>Innovations Announces First Quarter Results;</w:t>
      </w:r>
      <w:r>
        <w:rPr>
          <w:rFonts w:ascii="Times New Roman" w:hAnsi="Times New Roman"/>
          <w:color w:val="000000"/>
          <w:sz w:val="20"/>
        </w:rPr>
        <w:t xml:space="preserve"> </w:t>
      </w:r>
    </w:p>
    <w:p>
      <w:pPr>
        <w:pStyle w:val="TextBody"/>
        <w:bidi w:val="0"/>
        <w:jc w:val="center"/>
        <w:rPr>
          <w:rFonts w:ascii="Onest;sans-serif" w:hAnsi="Onest;sans-serif"/>
          <w:b/>
          <w:color w:val="000000"/>
          <w:sz w:val="28"/>
        </w:rPr>
      </w:pPr>
      <w:r>
        <w:rPr>
          <w:rFonts w:ascii="Onest;sans-serif" w:hAnsi="Onest;sans-serif"/>
          <w:b/>
          <w:color w:val="000000"/>
          <w:sz w:val="28"/>
        </w:rPr>
        <w:t>Focused on Driving Improved Execution and Offsetting Inflationary Headwinds</w:t>
      </w:r>
    </w:p>
    <w:p>
      <w:pPr>
        <w:pStyle w:val="TextBody"/>
        <w:bidi w:val="0"/>
        <w:spacing w:before="200" w:after="283"/>
        <w:jc w:val="left"/>
        <w:rPr>
          <w:rFonts w:ascii="Onest;sans-serif" w:hAnsi="Onest;sans-serif"/>
          <w:b/>
          <w:color w:val="000000"/>
          <w:sz w:val="20"/>
        </w:rPr>
      </w:pPr>
      <w:r>
        <w:rPr>
          <w:rFonts w:ascii="Onest;sans-serif" w:hAnsi="Onest;sans-serif"/>
          <w:b/>
          <w:color w:val="000000"/>
          <w:sz w:val="20"/>
        </w:rPr>
        <w:t>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Onest;sans-serif" w:hAnsi="Onest;sans-serif"/>
          <w:b/>
          <w:color w:val="000000"/>
          <w:sz w:val="20"/>
        </w:rPr>
      </w:pPr>
      <w:r>
        <w:rPr>
          <w:rFonts w:ascii="Onest;sans-serif" w:hAnsi="Onest;sans-serif"/>
          <w:b/>
          <w:color w:val="000000"/>
          <w:sz w:val="20"/>
        </w:rPr>
        <w:t xml:space="preserve">Q1 2026 sales were $1.0 billion, a decrease of 2 percent versus Q1 2025; sales excluding the impact of China decreased 1 percent </w:t>
      </w:r>
    </w:p>
    <w:p>
      <w:pPr>
        <w:pStyle w:val="TextBody"/>
        <w:bidi w:val="0"/>
        <w:spacing w:before="120" w:after="283"/>
        <w:jc w:val="left"/>
        <w:rPr>
          <w:color w:val="000000"/>
        </w:rPr>
      </w:pPr>
      <w:r>
        <w:rPr>
          <w:color w:val="000000"/>
        </w:rPr>
        <w:t>•</w:t>
      </w:r>
    </w:p>
    <w:p>
      <w:pPr>
        <w:pStyle w:val="TextBody"/>
        <w:bidi w:val="0"/>
        <w:spacing w:before="120" w:after="283"/>
        <w:jc w:val="left"/>
        <w:rPr>
          <w:rFonts w:ascii="Onest;sans-serif" w:hAnsi="Onest;sans-serif"/>
          <w:b/>
          <w:color w:val="000000"/>
          <w:sz w:val="20"/>
        </w:rPr>
      </w:pPr>
      <w:r>
        <w:rPr>
          <w:rFonts w:ascii="Onest;sans-serif" w:hAnsi="Onest;sans-serif"/>
          <w:b/>
          <w:color w:val="000000"/>
          <w:sz w:val="20"/>
        </w:rPr>
        <w:t>Q1 2026 earnings per share (EPS) were $0.20, a decrease of 52 percent versus Q1 2025; EPS before charges / gains were $0.53, a decrease of 20 percent versus Q1 2025</w:t>
      </w:r>
    </w:p>
    <w:p>
      <w:pPr>
        <w:pStyle w:val="TextBody"/>
        <w:bidi w:val="0"/>
        <w:spacing w:before="120" w:after="283"/>
        <w:jc w:val="left"/>
        <w:rPr>
          <w:color w:val="000000"/>
        </w:rPr>
      </w:pPr>
      <w:r>
        <w:rPr>
          <w:color w:val="000000"/>
        </w:rPr>
        <w:t>•</w:t>
      </w:r>
    </w:p>
    <w:p>
      <w:pPr>
        <w:pStyle w:val="TextBody"/>
        <w:bidi w:val="0"/>
        <w:spacing w:before="120" w:after="283"/>
        <w:jc w:val="left"/>
        <w:rPr>
          <w:rFonts w:ascii="Onest;sans-serif" w:hAnsi="Onest;sans-serif"/>
          <w:b/>
          <w:color w:val="000000"/>
          <w:sz w:val="20"/>
        </w:rPr>
      </w:pPr>
      <w:r>
        <w:rPr>
          <w:rFonts w:ascii="Onest;sans-serif" w:hAnsi="Onest;sans-serif"/>
          <w:b/>
          <w:color w:val="000000"/>
          <w:sz w:val="20"/>
        </w:rPr>
        <w:t>Current leadership team is fully empowered to execute strategic priorities and drive performance improvement measures</w:t>
      </w:r>
    </w:p>
    <w:p>
      <w:pPr>
        <w:pStyle w:val="TextBody"/>
        <w:bidi w:val="0"/>
        <w:spacing w:before="120" w:after="283"/>
        <w:jc w:val="left"/>
        <w:rPr>
          <w:color w:val="000000"/>
        </w:rPr>
      </w:pPr>
      <w:r>
        <w:rPr>
          <w:color w:val="000000"/>
        </w:rPr>
        <w:t>•</w:t>
      </w:r>
    </w:p>
    <w:p>
      <w:pPr>
        <w:pStyle w:val="TextBody"/>
        <w:bidi w:val="0"/>
        <w:spacing w:before="120" w:after="283"/>
        <w:jc w:val="left"/>
        <w:rPr>
          <w:rFonts w:ascii="Onest;sans-serif" w:hAnsi="Onest;sans-serif"/>
          <w:b/>
          <w:color w:val="000000"/>
          <w:sz w:val="20"/>
        </w:rPr>
      </w:pPr>
      <w:r>
        <w:rPr>
          <w:rFonts w:ascii="Onest;sans-serif" w:hAnsi="Onest;sans-serif"/>
          <w:b/>
          <w:color w:val="000000"/>
          <w:sz w:val="20"/>
        </w:rPr>
        <w:t>Updating full-year 2026 guidance to reflect sales in line with the market</w:t>
      </w:r>
    </w:p>
    <w:p>
      <w:pPr>
        <w:pStyle w:val="TextBody"/>
        <w:bidi w:val="0"/>
        <w:jc w:val="left"/>
        <w:rPr/>
      </w:pPr>
      <w:r>
        <w:rPr/>
        <w:t> </w:t>
      </w:r>
    </w:p>
    <w:p>
      <w:pPr>
        <w:pStyle w:val="TextBody"/>
        <w:bidi w:val="0"/>
        <w:spacing w:before="200" w:after="283"/>
        <w:jc w:val="left"/>
        <w:rPr>
          <w:rFonts w:ascii="Times New Roman" w:hAnsi="Times New Roman"/>
          <w:sz w:val="20"/>
        </w:rPr>
      </w:pPr>
      <w:r>
        <w:rPr>
          <w:rFonts w:ascii="Onest;sans-serif" w:hAnsi="Onest;sans-serif"/>
          <w:color w:val="000000"/>
          <w:sz w:val="20"/>
        </w:rPr>
        <w:t>DEERFIELD, Ill.--(BUSINESS WIRE)--May 7, 2026--Fortune Brands Innovations, Inc. (NYSE: FBIN or “Fortune Brands” or the “Company”), an industry-leading home, security and digital products company whose purpose is to elevate every life by transforming spaces into havens, today announced first quarter 2026 results.</w:t>
      </w:r>
      <w:r>
        <w:rPr>
          <w:rFonts w:ascii="Times New Roman" w:hAnsi="Times New Roman"/>
          <w:color w:val="000000"/>
          <w:sz w:val="20"/>
        </w:rPr>
        <w:t xml:space="preserve"> </w:t>
      </w:r>
    </w:p>
    <w:p>
      <w:pPr>
        <w:pStyle w:val="TextBody"/>
        <w:bidi w:val="0"/>
        <w:spacing w:before="200" w:after="283"/>
        <w:jc w:val="left"/>
        <w:rPr/>
      </w:pPr>
      <w:r>
        <w:rPr>
          <w:color w:val="000000"/>
        </w:rPr>
        <w:t>“</w:t>
      </w:r>
      <w:r>
        <w:rPr>
          <w:rFonts w:ascii="Onest;sans-serif" w:hAnsi="Onest;sans-serif"/>
          <w:color w:val="000000"/>
          <w:sz w:val="20"/>
        </w:rPr>
        <w:t>Our first quarter results reflect inconsistent execution and a dynamic external environment. While we are encouraged by our ability to grow sales in our Moen, House of Rohl, and Therma-Tru businesses, we recognize there is more work to do to improve our execution, optimize our structure to drive efficiencies and re-deploy capital towards our highest value creating opportunities. With a strong foundation in place and a focused set of priorities, we are confident in our ability to navigate the current environment and take the necessary actions to position the business for profitable growth over time,” said Fortune Brands Interim Chief Executive Officer David Barry.</w:t>
      </w:r>
      <w:r>
        <w:rPr>
          <w:rFonts w:ascii="Times New Roman" w:hAnsi="Times New Roman"/>
          <w:color w:val="000000"/>
          <w:sz w:val="20"/>
        </w:rPr>
        <w:t xml:space="preserve"> </w:t>
      </w:r>
    </w:p>
    <w:p>
      <w:pPr>
        <w:pStyle w:val="TextBody"/>
        <w:bidi w:val="0"/>
        <w:spacing w:before="240" w:after="283"/>
        <w:jc w:val="left"/>
        <w:rPr>
          <w:rFonts w:ascii="Onest;sans-serif" w:hAnsi="Onest;sans-serif"/>
          <w:b/>
          <w:color w:val="000000"/>
          <w:sz w:val="20"/>
          <w:u w:val="single"/>
        </w:rPr>
      </w:pPr>
      <w:r>
        <w:rPr>
          <w:rFonts w:ascii="Onest;sans-serif" w:hAnsi="Onest;sans-serif"/>
          <w:b/>
          <w:color w:val="000000"/>
          <w:sz w:val="20"/>
          <w:u w:val="single"/>
        </w:rPr>
        <w:t>First Quarter 2026 Results</w:t>
      </w:r>
    </w:p>
    <w:p>
      <w:pPr>
        <w:pStyle w:val="TextBody"/>
        <w:bidi w:val="0"/>
        <w:jc w:val="left"/>
        <w:rPr>
          <w:rFonts w:ascii="Onest;sans-serif" w:hAnsi="Onest;sans-serif"/>
          <w:i/>
          <w:color w:val="000000"/>
          <w:sz w:val="20"/>
        </w:rPr>
      </w:pPr>
      <w:r>
        <w:rPr>
          <w:rFonts w:ascii="Onest;sans-serif" w:hAnsi="Onest;sans-serif"/>
          <w:i/>
          <w:color w:val="000000"/>
          <w:sz w:val="20"/>
        </w:rPr>
        <w:t>($ in millions, except per share amounts)</w:t>
      </w:r>
    </w:p>
    <w:p>
      <w:pPr>
        <w:pStyle w:val="TextBody"/>
        <w:bidi w:val="0"/>
        <w:jc w:val="left"/>
        <w:rPr>
          <w:rFonts w:ascii="Onest;sans-serif" w:hAnsi="Onest;sans-serif"/>
          <w:i/>
          <w:color w:val="000000"/>
          <w:sz w:val="20"/>
        </w:rPr>
      </w:pPr>
      <w:r>
        <w:rPr>
          <w:rFonts w:ascii="Onest;sans-serif" w:hAnsi="Onest;sans-serif"/>
          <w:i/>
          <w:color w:val="000000"/>
          <w:sz w:val="20"/>
        </w:rPr>
        <w:t>Unaudited</w:t>
      </w:r>
    </w:p>
    <w:p>
      <w:pPr>
        <w:pStyle w:val="TextBody"/>
        <w:bidi w:val="0"/>
        <w:jc w:val="left"/>
        <w:rPr/>
      </w:pPr>
      <w:r>
        <w:rPr/>
        <w:t> </w:t>
      </w:r>
    </w:p>
    <w:p>
      <w:pPr>
        <w:pStyle w:val="TextBody"/>
        <w:bidi w:val="0"/>
        <w:jc w:val="left"/>
        <w:rPr>
          <w:rFonts w:ascii="Onest;sans-serif" w:hAnsi="Onest;sans-serif"/>
          <w:color w:val="000000"/>
          <w:sz w:val="20"/>
          <w:u w:val="single"/>
        </w:rPr>
      </w:pPr>
      <w:r>
        <w:rPr>
          <w:rFonts w:ascii="Onest;sans-serif" w:hAnsi="Onest;sans-serif"/>
          <w:color w:val="000000"/>
          <w:sz w:val="20"/>
          <w:u w:val="single"/>
        </w:rPr>
        <w:t>Q1 2026 Total Company Results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4"/>
        <w:gridCol w:w="1738"/>
        <w:gridCol w:w="3143"/>
        <w:gridCol w:w="1869"/>
        <w:gridCol w:w="1841"/>
      </w:tblGrid>
      <w:tr>
        <w:trPr/>
        <w:tc>
          <w:tcPr>
            <w:tcW w:w="1614"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314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1614" w:type="dxa"/>
            <w:tcBorders>
              <w:top w:val="single" w:sz="4" w:space="0" w:color="000000"/>
              <w:left w:val="single" w:sz="4" w:space="0" w:color="000000"/>
              <w:bottom w:val="single" w:sz="4" w:space="0" w:color="000000"/>
              <w:right w:val="single" w:sz="4" w:space="0" w:color="000000"/>
            </w:tcBorders>
            <w:tcMar>
              <w:top w:w="29" w:type="dxa"/>
              <w:left w:w="115" w:type="dxa"/>
              <w:bottom w:w="29" w:type="dxa"/>
              <w:right w:w="115" w:type="dxa"/>
            </w:tcMar>
            <w:vAlign w:val="center"/>
          </w:tcPr>
          <w:p>
            <w:pPr>
              <w:pStyle w:val="TableContents"/>
              <w:bidi w:val="0"/>
              <w:spacing w:before="0" w:after="283"/>
              <w:jc w:val="left"/>
              <w:rPr>
                <w:sz w:val="4"/>
                <w:szCs w:val="4"/>
              </w:rPr>
            </w:pPr>
            <w:r>
              <w:rPr>
                <w:sz w:val="4"/>
                <w:szCs w:val="4"/>
              </w:rPr>
            </w:r>
          </w:p>
        </w:tc>
        <w:tc>
          <w:tcPr>
            <w:tcW w:w="1738" w:type="dxa"/>
            <w:tcBorders>
              <w:top w:val="single" w:sz="4" w:space="0" w:color="000000"/>
              <w:bottom w:val="single" w:sz="4" w:space="0" w:color="000000"/>
              <w:right w:val="single" w:sz="4" w:space="0" w:color="000000"/>
            </w:tcBorders>
            <w:shd w:fill="F2F2F2" w:val="clear"/>
            <w:tcMar>
              <w:top w:w="29" w:type="dxa"/>
              <w:left w:w="0" w:type="dxa"/>
              <w:bottom w:w="29" w:type="dxa"/>
              <w:right w:w="115"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Reported Net Sales</w:t>
            </w:r>
          </w:p>
        </w:tc>
        <w:tc>
          <w:tcPr>
            <w:tcW w:w="3143" w:type="dxa"/>
            <w:tcBorders>
              <w:top w:val="single" w:sz="4" w:space="0" w:color="000000"/>
              <w:bottom w:val="single" w:sz="4" w:space="0" w:color="000000"/>
              <w:right w:val="single" w:sz="4" w:space="0" w:color="000000"/>
            </w:tcBorders>
            <w:shd w:fill="F2F2F2" w:val="clear"/>
            <w:tcMar>
              <w:top w:w="29" w:type="dxa"/>
              <w:left w:w="0" w:type="dxa"/>
              <w:bottom w:w="29" w:type="dxa"/>
              <w:right w:w="115"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Operating Income</w:t>
            </w:r>
          </w:p>
        </w:tc>
        <w:tc>
          <w:tcPr>
            <w:tcW w:w="1869" w:type="dxa"/>
            <w:tcBorders>
              <w:top w:val="single" w:sz="4" w:space="0" w:color="000000"/>
              <w:bottom w:val="single" w:sz="4" w:space="0" w:color="000000"/>
              <w:right w:val="single" w:sz="4" w:space="0" w:color="000000"/>
            </w:tcBorders>
            <w:shd w:fill="F2F2F2" w:val="clear"/>
            <w:tcMar>
              <w:top w:w="29" w:type="dxa"/>
              <w:left w:w="0" w:type="dxa"/>
              <w:bottom w:w="29" w:type="dxa"/>
              <w:right w:w="115"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Operating Margin</w:t>
            </w:r>
          </w:p>
        </w:tc>
        <w:tc>
          <w:tcPr>
            <w:tcW w:w="1841" w:type="dxa"/>
            <w:tcBorders>
              <w:top w:val="single" w:sz="4" w:space="0" w:color="000000"/>
              <w:bottom w:val="single" w:sz="4" w:space="0" w:color="000000"/>
              <w:right w:val="single" w:sz="4" w:space="0" w:color="000000"/>
            </w:tcBorders>
            <w:shd w:fill="F2F2F2" w:val="clear"/>
            <w:tcMar>
              <w:top w:w="29" w:type="dxa"/>
              <w:left w:w="0" w:type="dxa"/>
              <w:bottom w:w="29" w:type="dxa"/>
              <w:right w:w="115"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EPS</w:t>
            </w:r>
          </w:p>
        </w:tc>
      </w:tr>
      <w:tr>
        <w:trPr/>
        <w:tc>
          <w:tcPr>
            <w:tcW w:w="1614"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Q1 2026 GAAP</w:t>
            </w:r>
          </w:p>
        </w:tc>
        <w:tc>
          <w:tcPr>
            <w:tcW w:w="1738" w:type="dxa"/>
            <w:tcBorders>
              <w:bottom w:val="single" w:sz="4" w:space="0" w:color="000000"/>
              <w:right w:val="single" w:sz="4" w:space="0" w:color="000000"/>
            </w:tcBorders>
            <w:shd w:fill="FFFFFF" w:val="clear"/>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$1,011.3</w:t>
            </w:r>
          </w:p>
        </w:tc>
        <w:tc>
          <w:tcPr>
            <w:tcW w:w="3143"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$60.2</w:t>
            </w:r>
          </w:p>
        </w:tc>
        <w:tc>
          <w:tcPr>
            <w:tcW w:w="1869" w:type="dxa"/>
            <w:tcBorders>
              <w:bottom w:val="single" w:sz="4" w:space="0" w:color="000000"/>
              <w:right w:val="single" w:sz="4" w:space="0" w:color="000000"/>
            </w:tcBorders>
            <w:shd w:fill="FFFFFF" w:val="clear"/>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6.0%</w:t>
            </w:r>
          </w:p>
        </w:tc>
        <w:tc>
          <w:tcPr>
            <w:tcW w:w="184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ind w:left="0" w:right="0" w:firstLine="262"/>
              <w:jc w:val="left"/>
              <w:rPr>
                <w:rFonts w:ascii="Onest;sans-serif" w:hAnsi="Onest;sans-serif"/>
                <w:color w:val="000000"/>
                <w:sz w:val="18"/>
              </w:rPr>
            </w:pPr>
            <w:r>
              <w:rPr>
                <w:rFonts w:ascii="Onest;sans-serif" w:hAnsi="Onest;sans-serif"/>
                <w:color w:val="000000"/>
                <w:sz w:val="18"/>
              </w:rPr>
              <w:t>$0.20</w:t>
            </w:r>
          </w:p>
        </w:tc>
      </w:tr>
      <w:tr>
        <w:trPr/>
        <w:tc>
          <w:tcPr>
            <w:tcW w:w="1614"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ind w:left="0" w:right="0" w:firstLine="262"/>
              <w:jc w:val="left"/>
              <w:rPr>
                <w:rFonts w:ascii="Times New Roman" w:hAnsi="Times New Roman"/>
                <w:sz w:val="18"/>
              </w:rPr>
            </w:pPr>
            <w:r>
              <w:rPr>
                <w:rFonts w:ascii="Onest;sans-serif" w:hAnsi="Onest;sans-serif"/>
                <w:color w:val="000000"/>
                <w:sz w:val="18"/>
              </w:rPr>
              <w:t>Change</w:t>
            </w:r>
            <w:r>
              <w:rPr>
                <w:rFonts w:ascii="Times New Roman" w:hAnsi="Times New Roman"/>
                <w:color w:val="000000"/>
                <w:sz w:val="18"/>
              </w:rPr>
              <w:t xml:space="preserve"> </w:t>
            </w:r>
          </w:p>
        </w:tc>
        <w:tc>
          <w:tcPr>
            <w:tcW w:w="1738" w:type="dxa"/>
            <w:tcBorders>
              <w:bottom w:val="single" w:sz="4" w:space="0" w:color="000000"/>
              <w:right w:val="single" w:sz="4" w:space="0" w:color="000000"/>
            </w:tcBorders>
            <w:shd w:fill="FFFFFF" w:val="clear"/>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(2.1%)</w:t>
            </w:r>
          </w:p>
        </w:tc>
        <w:tc>
          <w:tcPr>
            <w:tcW w:w="3143"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(37.9%)</w:t>
            </w:r>
          </w:p>
        </w:tc>
        <w:tc>
          <w:tcPr>
            <w:tcW w:w="1869" w:type="dxa"/>
            <w:tcBorders>
              <w:bottom w:val="single" w:sz="4" w:space="0" w:color="000000"/>
              <w:right w:val="single" w:sz="4" w:space="0" w:color="000000"/>
            </w:tcBorders>
            <w:shd w:fill="FFFFFF" w:val="clear"/>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(340) bps</w:t>
            </w:r>
          </w:p>
        </w:tc>
        <w:tc>
          <w:tcPr>
            <w:tcW w:w="184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(51.8%)</w:t>
            </w:r>
          </w:p>
        </w:tc>
      </w:tr>
      <w:tr>
        <w:trPr/>
        <w:tc>
          <w:tcPr>
            <w:tcW w:w="1614"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sz w:val="4"/>
                <w:szCs w:val="4"/>
              </w:rPr>
            </w:pPr>
            <w:r>
              <w:rPr>
                <w:sz w:val="4"/>
                <w:szCs w:val="4"/>
              </w:rPr>
            </w:r>
          </w:p>
        </w:tc>
        <w:tc>
          <w:tcPr>
            <w:tcW w:w="1738"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Reported Net Sales</w:t>
            </w:r>
          </w:p>
        </w:tc>
        <w:tc>
          <w:tcPr>
            <w:tcW w:w="3143"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jc w:val="left"/>
              <w:rPr>
                <w:rFonts w:ascii="Times New Roman" w:hAnsi="Times New Roman"/>
                <w:sz w:val="18"/>
              </w:rPr>
            </w:pPr>
            <w:r>
              <w:rPr>
                <w:rFonts w:ascii="Onest;sans-serif" w:hAnsi="Onest;sans-serif"/>
                <w:b/>
                <w:color w:val="000000"/>
                <w:sz w:val="18"/>
              </w:rPr>
              <w:t xml:space="preserve">Operating Income </w:t>
            </w:r>
            <w:r>
              <w:rPr>
                <w:rFonts w:ascii="Onest;sans-serif" w:hAnsi="Onest;sans-serif"/>
                <w:b/>
                <w:color w:val="000000"/>
                <w:sz w:val="16"/>
              </w:rPr>
              <w:t>Before Charges / Gains</w:t>
            </w:r>
          </w:p>
        </w:tc>
        <w:tc>
          <w:tcPr>
            <w:tcW w:w="1869"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jc w:val="left"/>
              <w:rPr>
                <w:rFonts w:ascii="Times New Roman" w:hAnsi="Times New Roman"/>
                <w:sz w:val="18"/>
              </w:rPr>
            </w:pPr>
            <w:r>
              <w:rPr>
                <w:rFonts w:ascii="Onest;sans-serif" w:hAnsi="Onest;sans-serif"/>
                <w:b/>
                <w:color w:val="000000"/>
                <w:sz w:val="18"/>
              </w:rPr>
              <w:t>Operating Margin</w:t>
            </w:r>
            <w:r>
              <w:rPr>
                <w:rFonts w:ascii="Times New Roman" w:hAnsi="Times New Roman"/>
                <w:color w:val="000000"/>
                <w:sz w:val="18"/>
              </w:rPr>
              <w:t xml:space="preserve"> </w:t>
            </w:r>
          </w:p>
          <w:p>
            <w:pPr>
              <w:pStyle w:val="TableContents"/>
              <w:bidi w:val="0"/>
              <w:spacing w:before="0" w:after="283"/>
              <w:jc w:val="left"/>
              <w:rPr>
                <w:rFonts w:ascii="Onest;sans-serif" w:hAnsi="Onest;sans-serif"/>
                <w:b/>
                <w:color w:val="000000"/>
                <w:sz w:val="16"/>
              </w:rPr>
            </w:pPr>
            <w:r>
              <w:rPr>
                <w:rFonts w:ascii="Onest;sans-serif" w:hAnsi="Onest;sans-serif"/>
                <w:b/>
                <w:color w:val="000000"/>
                <w:sz w:val="16"/>
              </w:rPr>
              <w:t>Before Charges / Gains</w:t>
            </w:r>
          </w:p>
        </w:tc>
        <w:tc>
          <w:tcPr>
            <w:tcW w:w="184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jc w:val="left"/>
              <w:rPr>
                <w:rFonts w:ascii="Times New Roman" w:hAnsi="Times New Roman"/>
                <w:sz w:val="18"/>
              </w:rPr>
            </w:pPr>
            <w:r>
              <w:rPr>
                <w:rFonts w:ascii="Onest;sans-serif" w:hAnsi="Onest;sans-serif"/>
                <w:b/>
                <w:color w:val="000000"/>
                <w:sz w:val="18"/>
              </w:rPr>
              <w:t>EPS</w:t>
            </w:r>
            <w:r>
              <w:rPr>
                <w:rFonts w:ascii="Times New Roman" w:hAnsi="Times New Roman"/>
                <w:color w:val="000000"/>
                <w:sz w:val="18"/>
              </w:rPr>
              <w:t xml:space="preserve"> </w:t>
            </w:r>
          </w:p>
          <w:p>
            <w:pPr>
              <w:pStyle w:val="TableContents"/>
              <w:bidi w:val="0"/>
              <w:spacing w:before="0" w:after="283"/>
              <w:jc w:val="left"/>
              <w:rPr>
                <w:rFonts w:ascii="Onest;sans-serif" w:hAnsi="Onest;sans-serif"/>
                <w:b/>
                <w:color w:val="000000"/>
                <w:sz w:val="16"/>
              </w:rPr>
            </w:pPr>
            <w:r>
              <w:rPr>
                <w:rFonts w:ascii="Onest;sans-serif" w:hAnsi="Onest;sans-serif"/>
                <w:b/>
                <w:color w:val="000000"/>
                <w:sz w:val="16"/>
              </w:rPr>
              <w:t>Before Charges / Gains</w:t>
            </w:r>
          </w:p>
        </w:tc>
      </w:tr>
      <w:tr>
        <w:trPr/>
        <w:tc>
          <w:tcPr>
            <w:tcW w:w="1614"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Q1 2026 Non-GAAP</w:t>
            </w:r>
          </w:p>
        </w:tc>
        <w:tc>
          <w:tcPr>
            <w:tcW w:w="1738" w:type="dxa"/>
            <w:tcBorders>
              <w:bottom w:val="single" w:sz="4" w:space="0" w:color="000000"/>
              <w:right w:val="single" w:sz="4" w:space="0" w:color="000000"/>
            </w:tcBorders>
            <w:shd w:fill="FFFFFF" w:val="clear"/>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$1,011.3</w:t>
            </w:r>
          </w:p>
        </w:tc>
        <w:tc>
          <w:tcPr>
            <w:tcW w:w="3143"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$112.1</w:t>
            </w:r>
          </w:p>
        </w:tc>
        <w:tc>
          <w:tcPr>
            <w:tcW w:w="1869" w:type="dxa"/>
            <w:tcBorders>
              <w:bottom w:val="single" w:sz="4" w:space="0" w:color="000000"/>
              <w:right w:val="single" w:sz="4" w:space="0" w:color="000000"/>
            </w:tcBorders>
            <w:shd w:fill="FFFFFF" w:val="clear"/>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11.1%</w:t>
            </w:r>
          </w:p>
        </w:tc>
        <w:tc>
          <w:tcPr>
            <w:tcW w:w="184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ind w:left="0" w:right="0" w:firstLine="262"/>
              <w:jc w:val="left"/>
              <w:rPr>
                <w:rFonts w:ascii="Onest;sans-serif" w:hAnsi="Onest;sans-serif"/>
                <w:color w:val="000000"/>
                <w:sz w:val="18"/>
              </w:rPr>
            </w:pPr>
            <w:r>
              <w:rPr>
                <w:rFonts w:ascii="Onest;sans-serif" w:hAnsi="Onest;sans-serif"/>
                <w:color w:val="000000"/>
                <w:sz w:val="18"/>
              </w:rPr>
              <w:t>$0.53</w:t>
            </w:r>
          </w:p>
        </w:tc>
      </w:tr>
      <w:tr>
        <w:trPr/>
        <w:tc>
          <w:tcPr>
            <w:tcW w:w="1614"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ind w:left="0" w:right="0" w:firstLine="262"/>
              <w:jc w:val="left"/>
              <w:rPr>
                <w:rFonts w:ascii="Onest;sans-serif" w:hAnsi="Onest;sans-serif"/>
                <w:color w:val="000000"/>
                <w:sz w:val="18"/>
              </w:rPr>
            </w:pPr>
            <w:r>
              <w:rPr>
                <w:rFonts w:ascii="Onest;sans-serif" w:hAnsi="Onest;sans-serif"/>
                <w:color w:val="000000"/>
                <w:sz w:val="18"/>
              </w:rPr>
              <w:t>Change</w:t>
            </w:r>
          </w:p>
        </w:tc>
        <w:tc>
          <w:tcPr>
            <w:tcW w:w="1738" w:type="dxa"/>
            <w:tcBorders>
              <w:bottom w:val="single" w:sz="4" w:space="0" w:color="000000"/>
              <w:right w:val="single" w:sz="4" w:space="0" w:color="000000"/>
            </w:tcBorders>
            <w:shd w:fill="FFFFFF" w:val="clear"/>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(2.1%)</w:t>
            </w:r>
          </w:p>
        </w:tc>
        <w:tc>
          <w:tcPr>
            <w:tcW w:w="3143"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(17.5%)</w:t>
            </w:r>
          </w:p>
        </w:tc>
        <w:tc>
          <w:tcPr>
            <w:tcW w:w="1869" w:type="dxa"/>
            <w:tcBorders>
              <w:bottom w:val="single" w:sz="4" w:space="0" w:color="000000"/>
              <w:right w:val="single" w:sz="4" w:space="0" w:color="000000"/>
            </w:tcBorders>
            <w:shd w:fill="FFFFFF" w:val="clear"/>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(200) bps</w:t>
            </w:r>
          </w:p>
        </w:tc>
        <w:tc>
          <w:tcPr>
            <w:tcW w:w="184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(19.7%)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sz w:val="20"/>
        </w:rPr>
      </w:pPr>
      <w:r>
        <w:rPr>
          <w:rFonts w:ascii="Onest;sans-serif" w:hAnsi="Onest;sans-serif"/>
          <w:color w:val="000000"/>
          <w:sz w:val="20"/>
          <w:u w:val="single"/>
        </w:rPr>
        <w:t>Q1 2026 Segment Results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73"/>
        <w:gridCol w:w="967"/>
        <w:gridCol w:w="916"/>
        <w:gridCol w:w="1694"/>
        <w:gridCol w:w="966"/>
        <w:gridCol w:w="3044"/>
        <w:gridCol w:w="1045"/>
      </w:tblGrid>
      <w:tr>
        <w:trPr/>
        <w:tc>
          <w:tcPr>
            <w:tcW w:w="157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044"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1573" w:type="dxa"/>
            <w:tcBorders>
              <w:top w:val="single" w:sz="4" w:space="0" w:color="000000"/>
              <w:left w:val="single" w:sz="4" w:space="0" w:color="000000"/>
              <w:bottom w:val="single" w:sz="4" w:space="0" w:color="000000"/>
              <w:right w:val="single" w:sz="4" w:space="0" w:color="000000"/>
            </w:tcBorders>
            <w:tcMar>
              <w:left w:w="58" w:type="dxa"/>
              <w:right w:w="58" w:type="dxa"/>
            </w:tcMar>
            <w:vAlign w:val="center"/>
          </w:tcPr>
          <w:p>
            <w:pPr>
              <w:pStyle w:val="TableContents"/>
              <w:bidi w:val="0"/>
              <w:spacing w:before="0" w:after="283"/>
              <w:jc w:val="left"/>
              <w:rPr>
                <w:sz w:val="4"/>
                <w:szCs w:val="4"/>
              </w:rPr>
            </w:pPr>
            <w:r>
              <w:rPr>
                <w:sz w:val="4"/>
                <w:szCs w:val="4"/>
              </w:rPr>
            </w:r>
          </w:p>
        </w:tc>
        <w:tc>
          <w:tcPr>
            <w:tcW w:w="967" w:type="dxa"/>
            <w:tcBorders>
              <w:top w:val="single" w:sz="4" w:space="0" w:color="000000"/>
              <w:bottom w:val="single" w:sz="4" w:space="0" w:color="000000"/>
              <w:right w:val="single" w:sz="4" w:space="0" w:color="000000"/>
            </w:tcBorders>
            <w:shd w:fill="F2F2F2" w:val="clear"/>
            <w:tcMar>
              <w:left w:w="0" w:type="dxa"/>
              <w:right w:w="58"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Net Sales</w:t>
            </w:r>
          </w:p>
        </w:tc>
        <w:tc>
          <w:tcPr>
            <w:tcW w:w="916" w:type="dxa"/>
            <w:tcBorders>
              <w:top w:val="single" w:sz="4" w:space="0" w:color="000000"/>
              <w:bottom w:val="single" w:sz="4" w:space="0" w:color="000000"/>
              <w:right w:val="single" w:sz="4" w:space="0" w:color="000000"/>
            </w:tcBorders>
            <w:tcMar>
              <w:left w:w="0" w:type="dxa"/>
              <w:right w:w="58" w:type="dxa"/>
            </w:tcMar>
            <w:vAlign w:val="center"/>
          </w:tcPr>
          <w:p>
            <w:pPr>
              <w:pStyle w:val="TableContents"/>
              <w:bidi w:val="0"/>
              <w:spacing w:before="0" w:after="283"/>
              <w:jc w:val="left"/>
              <w:rPr>
                <w:rFonts w:ascii="Times New Roman" w:hAnsi="Times New Roman"/>
                <w:sz w:val="18"/>
              </w:rPr>
            </w:pPr>
            <w:r>
              <w:rPr>
                <w:rFonts w:ascii="Onest;sans-serif" w:hAnsi="Onest;sans-serif"/>
                <w:b/>
                <w:color w:val="000000"/>
                <w:sz w:val="18"/>
              </w:rPr>
              <w:t>Change</w:t>
            </w:r>
            <w:r>
              <w:rPr>
                <w:rFonts w:ascii="Times New Roman" w:hAnsi="Times New Roman"/>
                <w:color w:val="000000"/>
                <w:sz w:val="18"/>
              </w:rPr>
              <w:t xml:space="preserve"> </w:t>
            </w:r>
          </w:p>
        </w:tc>
        <w:tc>
          <w:tcPr>
            <w:tcW w:w="1694" w:type="dxa"/>
            <w:tcBorders>
              <w:top w:val="single" w:sz="4" w:space="0" w:color="000000"/>
              <w:bottom w:val="single" w:sz="4" w:space="0" w:color="000000"/>
              <w:right w:val="single" w:sz="4" w:space="0" w:color="000000"/>
            </w:tcBorders>
            <w:shd w:fill="F2F2F2" w:val="clear"/>
            <w:tcMar>
              <w:left w:w="0" w:type="dxa"/>
              <w:right w:w="58" w:type="dxa"/>
            </w:tcMar>
            <w:vAlign w:val="center"/>
          </w:tcPr>
          <w:p>
            <w:pPr>
              <w:pStyle w:val="TableContents"/>
              <w:bidi w:val="0"/>
              <w:spacing w:before="0" w:after="283"/>
              <w:jc w:val="left"/>
              <w:rPr>
                <w:rFonts w:ascii="Times New Roman" w:hAnsi="Times New Roman"/>
                <w:sz w:val="18"/>
              </w:rPr>
            </w:pPr>
            <w:r>
              <w:rPr>
                <w:rFonts w:ascii="Onest;sans-serif" w:hAnsi="Onest;sans-serif"/>
                <w:b/>
                <w:color w:val="000000"/>
                <w:sz w:val="18"/>
              </w:rPr>
              <w:t>Operating Margin</w:t>
            </w:r>
            <w:r>
              <w:rPr>
                <w:rFonts w:ascii="Times New Roman" w:hAnsi="Times New Roman"/>
                <w:color w:val="000000"/>
                <w:sz w:val="18"/>
              </w:rPr>
              <w:t xml:space="preserve"> </w:t>
            </w:r>
          </w:p>
        </w:tc>
        <w:tc>
          <w:tcPr>
            <w:tcW w:w="966" w:type="dxa"/>
            <w:tcBorders>
              <w:top w:val="single" w:sz="4" w:space="0" w:color="000000"/>
              <w:bottom w:val="single" w:sz="4" w:space="0" w:color="000000"/>
              <w:right w:val="single" w:sz="4" w:space="0" w:color="000000"/>
            </w:tcBorders>
            <w:tcMar>
              <w:left w:w="0" w:type="dxa"/>
              <w:right w:w="58" w:type="dxa"/>
            </w:tcMar>
            <w:vAlign w:val="center"/>
          </w:tcPr>
          <w:p>
            <w:pPr>
              <w:pStyle w:val="TableContents"/>
              <w:bidi w:val="0"/>
              <w:spacing w:before="0" w:after="283"/>
              <w:jc w:val="left"/>
              <w:rPr>
                <w:rFonts w:ascii="Times New Roman" w:hAnsi="Times New Roman"/>
                <w:sz w:val="18"/>
              </w:rPr>
            </w:pPr>
            <w:r>
              <w:rPr>
                <w:rFonts w:ascii="Onest;sans-serif" w:hAnsi="Onest;sans-serif"/>
                <w:b/>
                <w:color w:val="000000"/>
                <w:sz w:val="18"/>
              </w:rPr>
              <w:t>Change</w:t>
            </w:r>
            <w:r>
              <w:rPr>
                <w:rFonts w:ascii="Times New Roman" w:hAnsi="Times New Roman"/>
                <w:color w:val="000000"/>
                <w:sz w:val="18"/>
              </w:rPr>
              <w:t xml:space="preserve"> </w:t>
            </w:r>
          </w:p>
        </w:tc>
        <w:tc>
          <w:tcPr>
            <w:tcW w:w="3044" w:type="dxa"/>
            <w:tcBorders>
              <w:top w:val="single" w:sz="4" w:space="0" w:color="000000"/>
              <w:bottom w:val="single" w:sz="4" w:space="0" w:color="000000"/>
              <w:right w:val="single" w:sz="4" w:space="0" w:color="000000"/>
            </w:tcBorders>
            <w:shd w:fill="F2F2F2" w:val="clear"/>
            <w:tcMar>
              <w:left w:w="0" w:type="dxa"/>
              <w:right w:w="58" w:type="dxa"/>
            </w:tcMar>
            <w:vAlign w:val="center"/>
          </w:tcPr>
          <w:p>
            <w:pPr>
              <w:pStyle w:val="TableContents"/>
              <w:bidi w:val="0"/>
              <w:spacing w:before="0" w:after="283"/>
              <w:jc w:val="left"/>
              <w:rPr>
                <w:rFonts w:ascii="Times New Roman" w:hAnsi="Times New Roman"/>
                <w:sz w:val="18"/>
              </w:rPr>
            </w:pPr>
            <w:r>
              <w:rPr>
                <w:rFonts w:ascii="Onest;sans-serif" w:hAnsi="Onest;sans-serif"/>
                <w:b/>
                <w:color w:val="000000"/>
                <w:sz w:val="18"/>
              </w:rPr>
              <w:t xml:space="preserve">Operating Margin </w:t>
            </w:r>
            <w:r>
              <w:rPr>
                <w:rFonts w:ascii="Onest;sans-serif" w:hAnsi="Onest;sans-serif"/>
                <w:b/>
                <w:color w:val="000000"/>
                <w:sz w:val="16"/>
              </w:rPr>
              <w:t>Before Charges/Gains</w:t>
            </w:r>
          </w:p>
        </w:tc>
        <w:tc>
          <w:tcPr>
            <w:tcW w:w="1045" w:type="dxa"/>
            <w:tcBorders>
              <w:top w:val="single" w:sz="4" w:space="0" w:color="000000"/>
              <w:bottom w:val="single" w:sz="4" w:space="0" w:color="000000"/>
              <w:right w:val="single" w:sz="4" w:space="0" w:color="000000"/>
            </w:tcBorders>
            <w:tcMar>
              <w:left w:w="0" w:type="dxa"/>
              <w:right w:w="58"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Change</w:t>
            </w:r>
          </w:p>
        </w:tc>
      </w:tr>
      <w:tr>
        <w:trPr/>
        <w:tc>
          <w:tcPr>
            <w:tcW w:w="1573" w:type="dxa"/>
            <w:tcBorders>
              <w:left w:val="single" w:sz="4" w:space="0" w:color="000000"/>
              <w:bottom w:val="single" w:sz="4" w:space="0" w:color="000000"/>
              <w:right w:val="single" w:sz="4" w:space="0" w:color="000000"/>
            </w:tcBorders>
            <w:tcMar>
              <w:top w:w="0" w:type="dxa"/>
              <w:left w:w="58"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Water Innovations</w:t>
            </w:r>
          </w:p>
        </w:tc>
        <w:tc>
          <w:tcPr>
            <w:tcW w:w="967" w:type="dxa"/>
            <w:tcBorders>
              <w:bottom w:val="single" w:sz="4" w:space="0" w:color="000000"/>
              <w:right w:val="single" w:sz="4" w:space="0" w:color="000000"/>
            </w:tcBorders>
            <w:shd w:fill="F2F2F2" w:val="clear"/>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$563.7</w:t>
            </w:r>
          </w:p>
        </w:tc>
        <w:tc>
          <w:tcPr>
            <w:tcW w:w="916" w:type="dxa"/>
            <w:tcBorders>
              <w:bottom w:val="single" w:sz="4" w:space="0" w:color="000000"/>
              <w:right w:val="single" w:sz="4" w:space="0" w:color="000000"/>
            </w:tcBorders>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(0.3%)</w:t>
            </w:r>
          </w:p>
        </w:tc>
        <w:tc>
          <w:tcPr>
            <w:tcW w:w="1694" w:type="dxa"/>
            <w:tcBorders>
              <w:bottom w:val="single" w:sz="4" w:space="0" w:color="000000"/>
              <w:right w:val="single" w:sz="4" w:space="0" w:color="000000"/>
            </w:tcBorders>
            <w:shd w:fill="F2F2F2" w:val="clear"/>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18.4%</w:t>
            </w:r>
          </w:p>
        </w:tc>
        <w:tc>
          <w:tcPr>
            <w:tcW w:w="966" w:type="dxa"/>
            <w:tcBorders>
              <w:bottom w:val="single" w:sz="4" w:space="0" w:color="000000"/>
              <w:right w:val="single" w:sz="4" w:space="0" w:color="000000"/>
            </w:tcBorders>
            <w:tcMar>
              <w:top w:w="0" w:type="dxa"/>
              <w:left w:w="0" w:type="dxa"/>
              <w:right w:w="58"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10 bps</w:t>
            </w:r>
          </w:p>
        </w:tc>
        <w:tc>
          <w:tcPr>
            <w:tcW w:w="3044" w:type="dxa"/>
            <w:tcBorders>
              <w:bottom w:val="single" w:sz="4" w:space="0" w:color="000000"/>
              <w:right w:val="single" w:sz="4" w:space="0" w:color="000000"/>
            </w:tcBorders>
            <w:shd w:fill="F2F2F2" w:val="clear"/>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18.8%</w:t>
            </w:r>
          </w:p>
        </w:tc>
        <w:tc>
          <w:tcPr>
            <w:tcW w:w="1045" w:type="dxa"/>
            <w:tcBorders>
              <w:bottom w:val="single" w:sz="4" w:space="0" w:color="000000"/>
              <w:right w:val="single" w:sz="4" w:space="0" w:color="000000"/>
            </w:tcBorders>
            <w:tcMar>
              <w:top w:w="0" w:type="dxa"/>
              <w:left w:w="0" w:type="dxa"/>
              <w:right w:w="58" w:type="dxa"/>
            </w:tcMar>
            <w:vAlign w:val="center"/>
          </w:tcPr>
          <w:p>
            <w:pPr>
              <w:pStyle w:val="TableContents"/>
              <w:bidi w:val="0"/>
              <w:spacing w:before="0" w:after="283"/>
              <w:jc w:val="center"/>
              <w:rPr>
                <w:rFonts w:ascii="Times New Roman" w:hAnsi="Times New Roman"/>
                <w:sz w:val="18"/>
              </w:rPr>
            </w:pPr>
            <w:r>
              <w:rPr>
                <w:rFonts w:ascii="Onest;sans-serif" w:hAnsi="Onest;sans-serif"/>
                <w:color w:val="000000"/>
                <w:sz w:val="18"/>
              </w:rPr>
              <w:t>(120) bps</w:t>
            </w:r>
            <w:r>
              <w:rPr>
                <w:rFonts w:ascii="Times New Roman" w:hAnsi="Times New Roman"/>
                <w:color w:val="000000"/>
                <w:sz w:val="18"/>
              </w:rPr>
              <w:t xml:space="preserve"> </w:t>
            </w:r>
          </w:p>
        </w:tc>
      </w:tr>
      <w:tr>
        <w:trPr/>
        <w:tc>
          <w:tcPr>
            <w:tcW w:w="1573" w:type="dxa"/>
            <w:tcBorders>
              <w:left w:val="single" w:sz="4" w:space="0" w:color="000000"/>
              <w:bottom w:val="single" w:sz="4" w:space="0" w:color="000000"/>
              <w:right w:val="single" w:sz="4" w:space="0" w:color="000000"/>
            </w:tcBorders>
            <w:tcMar>
              <w:top w:w="0" w:type="dxa"/>
              <w:left w:w="58"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Outdoors</w:t>
            </w:r>
          </w:p>
        </w:tc>
        <w:tc>
          <w:tcPr>
            <w:tcW w:w="967" w:type="dxa"/>
            <w:tcBorders>
              <w:bottom w:val="single" w:sz="4" w:space="0" w:color="000000"/>
              <w:right w:val="single" w:sz="4" w:space="0" w:color="000000"/>
            </w:tcBorders>
            <w:shd w:fill="F2F2F2" w:val="clear"/>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$294.4</w:t>
            </w:r>
          </w:p>
        </w:tc>
        <w:tc>
          <w:tcPr>
            <w:tcW w:w="916" w:type="dxa"/>
            <w:tcBorders>
              <w:bottom w:val="single" w:sz="4" w:space="0" w:color="000000"/>
              <w:right w:val="single" w:sz="4" w:space="0" w:color="000000"/>
            </w:tcBorders>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(3.4%)</w:t>
            </w:r>
          </w:p>
        </w:tc>
        <w:tc>
          <w:tcPr>
            <w:tcW w:w="1694" w:type="dxa"/>
            <w:tcBorders>
              <w:bottom w:val="single" w:sz="4" w:space="0" w:color="000000"/>
              <w:right w:val="single" w:sz="4" w:space="0" w:color="000000"/>
            </w:tcBorders>
            <w:shd w:fill="F2F2F2" w:val="clear"/>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5.9%</w:t>
            </w:r>
          </w:p>
        </w:tc>
        <w:tc>
          <w:tcPr>
            <w:tcW w:w="966" w:type="dxa"/>
            <w:tcBorders>
              <w:bottom w:val="single" w:sz="4" w:space="0" w:color="000000"/>
              <w:right w:val="single" w:sz="4" w:space="0" w:color="000000"/>
            </w:tcBorders>
            <w:tcMar>
              <w:top w:w="0" w:type="dxa"/>
              <w:left w:w="0" w:type="dxa"/>
              <w:right w:w="58"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(150) bps</w:t>
            </w:r>
          </w:p>
        </w:tc>
        <w:tc>
          <w:tcPr>
            <w:tcW w:w="3044" w:type="dxa"/>
            <w:tcBorders>
              <w:bottom w:val="single" w:sz="4" w:space="0" w:color="000000"/>
              <w:right w:val="single" w:sz="4" w:space="0" w:color="000000"/>
            </w:tcBorders>
            <w:shd w:fill="F2F2F2" w:val="clear"/>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7.4%</w:t>
            </w:r>
          </w:p>
        </w:tc>
        <w:tc>
          <w:tcPr>
            <w:tcW w:w="1045" w:type="dxa"/>
            <w:tcBorders>
              <w:bottom w:val="single" w:sz="4" w:space="0" w:color="000000"/>
              <w:right w:val="single" w:sz="4" w:space="0" w:color="000000"/>
            </w:tcBorders>
            <w:tcMar>
              <w:top w:w="0" w:type="dxa"/>
              <w:left w:w="0" w:type="dxa"/>
              <w:right w:w="58"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(300) bps</w:t>
            </w:r>
          </w:p>
        </w:tc>
      </w:tr>
      <w:tr>
        <w:trPr/>
        <w:tc>
          <w:tcPr>
            <w:tcW w:w="1573" w:type="dxa"/>
            <w:tcBorders>
              <w:left w:val="single" w:sz="4" w:space="0" w:color="000000"/>
              <w:bottom w:val="single" w:sz="4" w:space="0" w:color="000000"/>
              <w:right w:val="single" w:sz="4" w:space="0" w:color="000000"/>
            </w:tcBorders>
            <w:tcMar>
              <w:top w:w="0" w:type="dxa"/>
              <w:left w:w="58"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Security</w:t>
            </w:r>
          </w:p>
        </w:tc>
        <w:tc>
          <w:tcPr>
            <w:tcW w:w="967" w:type="dxa"/>
            <w:tcBorders>
              <w:bottom w:val="single" w:sz="4" w:space="0" w:color="000000"/>
              <w:right w:val="single" w:sz="4" w:space="0" w:color="000000"/>
            </w:tcBorders>
            <w:shd w:fill="F2F2F2" w:val="clear"/>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$153.2</w:t>
            </w:r>
          </w:p>
        </w:tc>
        <w:tc>
          <w:tcPr>
            <w:tcW w:w="916" w:type="dxa"/>
            <w:tcBorders>
              <w:bottom w:val="single" w:sz="4" w:space="0" w:color="000000"/>
              <w:right w:val="single" w:sz="4" w:space="0" w:color="000000"/>
            </w:tcBorders>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(6.0%)</w:t>
            </w:r>
          </w:p>
        </w:tc>
        <w:tc>
          <w:tcPr>
            <w:tcW w:w="1694" w:type="dxa"/>
            <w:tcBorders>
              <w:bottom w:val="single" w:sz="4" w:space="0" w:color="000000"/>
              <w:right w:val="single" w:sz="4" w:space="0" w:color="000000"/>
            </w:tcBorders>
            <w:shd w:fill="F2F2F2" w:val="clear"/>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14.2%</w:t>
            </w:r>
          </w:p>
        </w:tc>
        <w:tc>
          <w:tcPr>
            <w:tcW w:w="966" w:type="dxa"/>
            <w:tcBorders>
              <w:bottom w:val="single" w:sz="4" w:space="0" w:color="000000"/>
              <w:right w:val="single" w:sz="4" w:space="0" w:color="000000"/>
            </w:tcBorders>
            <w:tcMar>
              <w:top w:w="0" w:type="dxa"/>
              <w:left w:w="0" w:type="dxa"/>
              <w:right w:w="58"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440 bps</w:t>
            </w:r>
          </w:p>
        </w:tc>
        <w:tc>
          <w:tcPr>
            <w:tcW w:w="3044" w:type="dxa"/>
            <w:tcBorders>
              <w:bottom w:val="single" w:sz="4" w:space="0" w:color="000000"/>
              <w:right w:val="single" w:sz="4" w:space="0" w:color="000000"/>
            </w:tcBorders>
            <w:shd w:fill="F2F2F2" w:val="clear"/>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14.2%</w:t>
            </w:r>
          </w:p>
        </w:tc>
        <w:tc>
          <w:tcPr>
            <w:tcW w:w="1045" w:type="dxa"/>
            <w:tcBorders>
              <w:bottom w:val="single" w:sz="4" w:space="0" w:color="000000"/>
              <w:right w:val="single" w:sz="4" w:space="0" w:color="000000"/>
            </w:tcBorders>
            <w:tcMar>
              <w:top w:w="0" w:type="dxa"/>
              <w:left w:w="0" w:type="dxa"/>
              <w:right w:w="58"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0 bps</w:t>
            </w:r>
          </w:p>
        </w:tc>
      </w:tr>
    </w:tbl>
    <w:p>
      <w:pPr>
        <w:pStyle w:val="TextBody"/>
        <w:bidi w:val="0"/>
        <w:spacing w:before="240" w:after="283"/>
        <w:jc w:val="left"/>
        <w:rPr>
          <w:rFonts w:ascii="Onest;sans-serif" w:hAnsi="Onest;sans-serif"/>
          <w:b/>
          <w:color w:val="000000"/>
          <w:sz w:val="20"/>
          <w:u w:val="single"/>
        </w:rPr>
      </w:pPr>
      <w:r>
        <w:rPr>
          <w:rFonts w:ascii="Onest;sans-serif" w:hAnsi="Onest;sans-serif"/>
          <w:b/>
          <w:color w:val="000000"/>
          <w:sz w:val="20"/>
          <w:u w:val="single"/>
        </w:rPr>
        <w:t>Balance Sheet and Cash Flow</w:t>
      </w:r>
    </w:p>
    <w:p>
      <w:pPr>
        <w:pStyle w:val="TextBody"/>
        <w:bidi w:val="0"/>
        <w:jc w:val="left"/>
        <w:rPr>
          <w:rFonts w:ascii="Onest;sans-serif" w:hAnsi="Onest;sans-serif"/>
          <w:color w:val="000000"/>
          <w:sz w:val="20"/>
        </w:rPr>
      </w:pPr>
      <w:r>
        <w:rPr>
          <w:rFonts w:ascii="Onest;sans-serif" w:hAnsi="Onest;sans-serif"/>
          <w:color w:val="000000"/>
          <w:sz w:val="20"/>
        </w:rPr>
        <w:t>The Company exited the quarter with a strong balance sheet. Cash flow reflected typical seasonality; the Company closed the quarter with $(119.2) million in operating cash flow and $(139.5) million in free cash flow. In accordance with its opportunistic, returns-based share repurchase program, the Company repurchased $43.5 million of its shares in the quarter. The Company ended the quarter with more than $900 million of liquidity and net debt to EBITDA before charges and gains of 2.9x.</w:t>
      </w:r>
    </w:p>
    <w:p>
      <w:pPr>
        <w:pStyle w:val="TextBody"/>
        <w:bidi w:val="0"/>
        <w:spacing w:before="240" w:after="283"/>
        <w:jc w:val="left"/>
        <w:rPr>
          <w:rFonts w:ascii="Times New Roman" w:hAnsi="Times New Roman"/>
          <w:sz w:val="20"/>
        </w:rPr>
      </w:pPr>
      <w:r>
        <w:rPr>
          <w:rFonts w:ascii="Onest;sans-serif" w:hAnsi="Onest;sans-serif"/>
          <w:color w:val="000000"/>
          <w:sz w:val="20"/>
        </w:rPr>
        <w:t>As of the end of the first quarter 2026:</w:t>
      </w:r>
      <w:r>
        <w:rPr>
          <w:rFonts w:ascii="Times New Roman" w:hAnsi="Times New Roman"/>
          <w:color w:val="000000"/>
          <w:sz w:val="20"/>
        </w:rPr>
        <w:t xml:space="preserve"> </w:t>
      </w:r>
    </w:p>
    <w:p>
      <w:pPr>
        <w:pStyle w:val="TextBody"/>
        <w:bidi w:val="0"/>
        <w:jc w:val="left"/>
        <w:rPr/>
      </w:pPr>
      <w:r>
        <w:rPr/>
        <w:t> </w:t>
      </w:r>
    </w:p>
    <w:tbl>
      <w:tblPr>
        <w:tblW w:w="5672" w:type="dxa"/>
        <w:jc w:val="left"/>
        <w:tblInd w:w="0" w:type="dxa"/>
        <w:tblLayout w:type="fixed"/>
        <w:tblCellMar>
          <w:top w:w="28" w:type="dxa"/>
          <w:left w:w="28" w:type="dxa"/>
          <w:bottom w:w="28" w:type="dxa"/>
          <w:right w:w="28" w:type="dxa"/>
        </w:tblCellMar>
      </w:tblPr>
      <w:tblGrid>
        <w:gridCol w:w="4396"/>
        <w:gridCol w:w="1276"/>
      </w:tblGrid>
      <w:tr>
        <w:trPr/>
        <w:tc>
          <w:tcPr>
            <w:tcW w:w="439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4396" w:type="dxa"/>
            <w:tcBorders>
              <w:top w:val="single" w:sz="4" w:space="0" w:color="000000"/>
              <w:left w:val="single" w:sz="4" w:space="0" w:color="000000"/>
              <w:bottom w:val="single" w:sz="4" w:space="0" w:color="000000"/>
              <w:right w:val="single" w:sz="4" w:space="0" w:color="000000"/>
            </w:tcBorders>
            <w:tcMar>
              <w:top w:w="29"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Net debt</w:t>
            </w:r>
          </w:p>
        </w:tc>
        <w:tc>
          <w:tcPr>
            <w:tcW w:w="1276" w:type="dxa"/>
            <w:tcBorders>
              <w:top w:val="single" w:sz="4" w:space="0" w:color="000000"/>
              <w:bottom w:val="single" w:sz="4" w:space="0" w:color="000000"/>
              <w:right w:val="single" w:sz="4" w:space="0" w:color="000000"/>
            </w:tcBorders>
            <w:tcMar>
              <w:top w:w="29"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$2.5 billion</w:t>
            </w:r>
          </w:p>
        </w:tc>
      </w:tr>
      <w:tr>
        <w:trPr/>
        <w:tc>
          <w:tcPr>
            <w:tcW w:w="4396"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Net debt to EBITDA before charges / gains</w:t>
            </w:r>
          </w:p>
        </w:tc>
        <w:tc>
          <w:tcPr>
            <w:tcW w:w="1276"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2.9x</w:t>
            </w:r>
          </w:p>
        </w:tc>
      </w:tr>
      <w:tr>
        <w:trPr/>
        <w:tc>
          <w:tcPr>
            <w:tcW w:w="4396"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Cash</w:t>
            </w:r>
          </w:p>
        </w:tc>
        <w:tc>
          <w:tcPr>
            <w:tcW w:w="1276"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$223 million</w:t>
            </w:r>
          </w:p>
        </w:tc>
      </w:tr>
      <w:tr>
        <w:trPr/>
        <w:tc>
          <w:tcPr>
            <w:tcW w:w="4396"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Amount available under revolving credit facility</w:t>
            </w:r>
          </w:p>
        </w:tc>
        <w:tc>
          <w:tcPr>
            <w:tcW w:w="1276"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$695 million</w:t>
            </w:r>
          </w:p>
        </w:tc>
      </w:tr>
    </w:tbl>
    <w:p>
      <w:pPr>
        <w:pStyle w:val="TextBody"/>
        <w:bidi w:val="0"/>
        <w:spacing w:before="240" w:after="283"/>
        <w:jc w:val="left"/>
        <w:rPr>
          <w:rFonts w:ascii="Onest;sans-serif" w:hAnsi="Onest;sans-serif"/>
          <w:b/>
          <w:color w:val="000000"/>
          <w:sz w:val="20"/>
          <w:u w:val="single"/>
        </w:rPr>
      </w:pPr>
      <w:r>
        <w:rPr>
          <w:rFonts w:ascii="Onest;sans-serif" w:hAnsi="Onest;sans-serif"/>
          <w:b/>
          <w:color w:val="000000"/>
          <w:sz w:val="20"/>
          <w:u w:val="single"/>
        </w:rPr>
        <w:t>2026 Full-Year Guidance</w:t>
      </w:r>
    </w:p>
    <w:p>
      <w:pPr>
        <w:pStyle w:val="TextBody"/>
        <w:bidi w:val="0"/>
        <w:jc w:val="left"/>
        <w:rPr>
          <w:color w:val="000000"/>
        </w:rPr>
      </w:pPr>
      <w:r>
        <w:rPr>
          <w:color w:val="000000"/>
        </w:rPr>
        <w:t>“</w:t>
      </w:r>
      <w:r>
        <w:rPr>
          <w:rFonts w:ascii="Onest;sans-serif" w:hAnsi="Onest;sans-serif"/>
          <w:color w:val="000000"/>
          <w:sz w:val="20"/>
        </w:rPr>
        <w:t>We have updated our full-year 2026 guidance and financial assumptions to reflect sales in line with the market. Our update also reflects a more uncertain external environment due to increased commodity inflation and more cautious consumer sentiment. While near-term conditions have become more challenging, our teams are responding by taking action across the entire P&amp;L to offset headwinds and enhance profitability. Once conditions stabilize, we believe we are well positioned to deliver improved performance and create long-term value,” said Fortune Brands Interim Chief Financial Officer Ashley George.</w:t>
      </w:r>
    </w:p>
    <w:p>
      <w:pPr>
        <w:pStyle w:val="TextBody"/>
        <w:bidi w:val="0"/>
        <w:jc w:val="left"/>
        <w:rPr/>
      </w:pPr>
      <w:r>
        <w:rPr/>
        <w:t> </w:t>
      </w:r>
    </w:p>
    <w:p>
      <w:pPr>
        <w:pStyle w:val="TextBody"/>
        <w:bidi w:val="0"/>
        <w:jc w:val="left"/>
        <w:rPr>
          <w:rFonts w:ascii="Onest;sans-serif" w:hAnsi="Onest;sans-serif"/>
          <w:color w:val="000000"/>
          <w:sz w:val="20"/>
          <w:u w:val="single"/>
        </w:rPr>
      </w:pPr>
      <w:r>
        <w:rPr>
          <w:rFonts w:ascii="Onest;sans-serif" w:hAnsi="Onest;sans-serif"/>
          <w:color w:val="000000"/>
          <w:sz w:val="20"/>
          <w:u w:val="single"/>
        </w:rPr>
        <w:t>2026 Financial Guidance</w:t>
      </w:r>
    </w:p>
    <w:tbl>
      <w:tblPr>
        <w:tblW w:w="10203" w:type="dxa"/>
        <w:jc w:val="left"/>
        <w:tblInd w:w="0" w:type="dxa"/>
        <w:tblLayout w:type="fixed"/>
        <w:tblCellMar>
          <w:top w:w="28" w:type="dxa"/>
          <w:left w:w="28" w:type="dxa"/>
          <w:bottom w:w="28" w:type="dxa"/>
          <w:right w:w="28" w:type="dxa"/>
        </w:tblCellMar>
      </w:tblPr>
      <w:tblGrid>
        <w:gridCol w:w="3496"/>
        <w:gridCol w:w="3136"/>
        <w:gridCol w:w="3571"/>
      </w:tblGrid>
      <w:tr>
        <w:trPr/>
        <w:tc>
          <w:tcPr>
            <w:tcW w:w="349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r>
      <w:tr>
        <w:trPr/>
        <w:tc>
          <w:tcPr>
            <w:tcW w:w="3496" w:type="dxa"/>
            <w:tcBorders>
              <w:top w:val="single" w:sz="4" w:space="0" w:color="000000"/>
              <w:left w:val="single" w:sz="4" w:space="0" w:color="000000"/>
              <w:bottom w:val="single" w:sz="4" w:space="0" w:color="000000"/>
              <w:right w:val="single" w:sz="4" w:space="0" w:color="000000"/>
            </w:tcBorders>
            <w:tcMar>
              <w:top w:w="29" w:type="dxa"/>
              <w:left w:w="115" w:type="dxa"/>
              <w:bottom w:w="29" w:type="dxa"/>
              <w:right w:w="115" w:type="dxa"/>
            </w:tcMar>
            <w:vAlign w:val="center"/>
          </w:tcPr>
          <w:p>
            <w:pPr>
              <w:pStyle w:val="TableContents"/>
              <w:bidi w:val="0"/>
              <w:spacing w:before="0" w:after="283"/>
              <w:jc w:val="left"/>
              <w:rPr>
                <w:sz w:val="4"/>
                <w:szCs w:val="4"/>
              </w:rPr>
            </w:pPr>
            <w:r>
              <w:rPr>
                <w:sz w:val="4"/>
                <w:szCs w:val="4"/>
              </w:rPr>
            </w:r>
          </w:p>
        </w:tc>
        <w:tc>
          <w:tcPr>
            <w:tcW w:w="3136" w:type="dxa"/>
            <w:tcBorders>
              <w:top w:val="single" w:sz="4" w:space="0" w:color="000000"/>
              <w:bottom w:val="single" w:sz="4" w:space="0" w:color="000000"/>
              <w:right w:val="single" w:sz="4" w:space="0" w:color="000000"/>
            </w:tcBorders>
            <w:tcMar>
              <w:top w:w="29" w:type="dxa"/>
              <w:left w:w="0" w:type="dxa"/>
              <w:bottom w:w="29" w:type="dxa"/>
              <w:right w:w="115"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Prior 2026 Full-Year Guidance</w:t>
            </w:r>
          </w:p>
        </w:tc>
        <w:tc>
          <w:tcPr>
            <w:tcW w:w="3571" w:type="dxa"/>
            <w:tcBorders>
              <w:top w:val="single" w:sz="4" w:space="0" w:color="000000"/>
              <w:bottom w:val="single" w:sz="4" w:space="0" w:color="000000"/>
              <w:right w:val="single" w:sz="4" w:space="0" w:color="000000"/>
            </w:tcBorders>
            <w:tcMar>
              <w:top w:w="29" w:type="dxa"/>
              <w:left w:w="0" w:type="dxa"/>
              <w:bottom w:w="29" w:type="dxa"/>
              <w:right w:w="115"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Updated 2026 Full-Year Guidance</w:t>
            </w:r>
          </w:p>
        </w:tc>
      </w:tr>
      <w:tr>
        <w:trPr/>
        <w:tc>
          <w:tcPr>
            <w:tcW w:w="3496" w:type="dxa"/>
            <w:tcBorders>
              <w:left w:val="single" w:sz="4" w:space="0" w:color="000000"/>
              <w:bottom w:val="single" w:sz="4" w:space="0" w:color="000000"/>
              <w:right w:val="single" w:sz="4" w:space="0" w:color="000000"/>
            </w:tcBorders>
            <w:shd w:fill="E5E5E5" w:val="clear"/>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TOTAL COMPANY FINANCIAL METRICS</w:t>
            </w:r>
          </w:p>
        </w:tc>
        <w:tc>
          <w:tcPr>
            <w:tcW w:w="3136" w:type="dxa"/>
            <w:tcBorders>
              <w:bottom w:val="single" w:sz="4" w:space="0" w:color="000000"/>
              <w:right w:val="single" w:sz="4" w:space="0" w:color="000000"/>
            </w:tcBorders>
            <w:shd w:fill="D9D9D9" w:val="clear"/>
            <w:tcMar>
              <w:top w:w="0" w:type="dxa"/>
              <w:left w:w="0" w:type="dxa"/>
              <w:bottom w:w="29" w:type="dxa"/>
              <w:right w:w="115" w:type="dxa"/>
            </w:tcMar>
            <w:vAlign w:val="center"/>
          </w:tcPr>
          <w:p>
            <w:pPr>
              <w:pStyle w:val="TableContents"/>
              <w:bidi w:val="0"/>
              <w:spacing w:before="0" w:after="283"/>
              <w:jc w:val="left"/>
              <w:rPr>
                <w:sz w:val="4"/>
                <w:szCs w:val="4"/>
              </w:rPr>
            </w:pPr>
            <w:r>
              <w:rPr>
                <w:sz w:val="4"/>
                <w:szCs w:val="4"/>
              </w:rPr>
            </w:r>
          </w:p>
        </w:tc>
        <w:tc>
          <w:tcPr>
            <w:tcW w:w="3571" w:type="dxa"/>
            <w:tcBorders>
              <w:bottom w:val="single" w:sz="4" w:space="0" w:color="000000"/>
              <w:right w:val="single" w:sz="4" w:space="0" w:color="000000"/>
            </w:tcBorders>
            <w:shd w:fill="D9D9D9" w:val="clear"/>
            <w:tcMar>
              <w:top w:w="0" w:type="dxa"/>
              <w:left w:w="0" w:type="dxa"/>
              <w:bottom w:w="29" w:type="dxa"/>
              <w:right w:w="115" w:type="dxa"/>
            </w:tcMar>
            <w:vAlign w:val="center"/>
          </w:tcPr>
          <w:p>
            <w:pPr>
              <w:pStyle w:val="TableContents"/>
              <w:bidi w:val="0"/>
              <w:spacing w:before="0" w:after="283"/>
              <w:jc w:val="left"/>
              <w:rPr/>
            </w:pPr>
            <w:r>
              <w:rPr/>
              <w:t> </w:t>
            </w:r>
          </w:p>
        </w:tc>
      </w:tr>
      <w:tr>
        <w:trPr/>
        <w:tc>
          <w:tcPr>
            <w:tcW w:w="3496"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Net sales</w:t>
            </w:r>
          </w:p>
        </w:tc>
        <w:tc>
          <w:tcPr>
            <w:tcW w:w="3136"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Flat to 2.0%</w:t>
            </w:r>
          </w:p>
        </w:tc>
        <w:tc>
          <w:tcPr>
            <w:tcW w:w="357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Down low single digits</w:t>
            </w:r>
          </w:p>
        </w:tc>
      </w:tr>
      <w:tr>
        <w:trPr/>
        <w:tc>
          <w:tcPr>
            <w:tcW w:w="3496"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EPS before charges / gains</w:t>
            </w:r>
          </w:p>
        </w:tc>
        <w:tc>
          <w:tcPr>
            <w:tcW w:w="3136"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$3.35 to $3.65</w:t>
            </w:r>
          </w:p>
        </w:tc>
        <w:tc>
          <w:tcPr>
            <w:tcW w:w="357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$3.00 to $3.30</w:t>
            </w:r>
          </w:p>
        </w:tc>
      </w:tr>
    </w:tbl>
    <w:p>
      <w:pPr>
        <w:pStyle w:val="TextBody"/>
        <w:bidi w:val="0"/>
        <w:jc w:val="left"/>
        <w:rPr/>
      </w:pPr>
      <w:r>
        <w:rPr/>
        <w:t> </w:t>
      </w:r>
    </w:p>
    <w:p>
      <w:pPr>
        <w:pStyle w:val="TextBody"/>
        <w:bidi w:val="0"/>
        <w:jc w:val="left"/>
        <w:rPr>
          <w:rFonts w:ascii="Onest;sans-serif" w:hAnsi="Onest;sans-serif"/>
          <w:color w:val="000000"/>
          <w:sz w:val="20"/>
          <w:u w:val="single"/>
        </w:rPr>
      </w:pPr>
      <w:r>
        <w:rPr>
          <w:rFonts w:ascii="Onest;sans-serif" w:hAnsi="Onest;sans-serif"/>
          <w:color w:val="000000"/>
          <w:sz w:val="20"/>
          <w:u w:val="single"/>
        </w:rPr>
        <w:t>2026 Market and Financial Assumptions</w:t>
      </w:r>
    </w:p>
    <w:tbl>
      <w:tblPr>
        <w:tblW w:w="10205" w:type="dxa"/>
        <w:jc w:val="left"/>
        <w:tblInd w:w="0" w:type="dxa"/>
        <w:tblLayout w:type="fixed"/>
        <w:tblCellMar>
          <w:top w:w="28" w:type="dxa"/>
          <w:left w:w="28" w:type="dxa"/>
          <w:bottom w:w="28" w:type="dxa"/>
          <w:right w:w="28" w:type="dxa"/>
        </w:tblCellMar>
      </w:tblPr>
      <w:tblGrid>
        <w:gridCol w:w="3560"/>
        <w:gridCol w:w="3138"/>
        <w:gridCol w:w="3507"/>
      </w:tblGrid>
      <w:tr>
        <w:trPr/>
        <w:tc>
          <w:tcPr>
            <w:tcW w:w="3560" w:type="dxa"/>
            <w:tcBorders/>
            <w:vAlign w:val="center"/>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560" w:type="dxa"/>
            <w:tcBorders>
              <w:top w:val="single" w:sz="4" w:space="0" w:color="000000"/>
              <w:left w:val="single" w:sz="4" w:space="0" w:color="000000"/>
              <w:bottom w:val="single" w:sz="4" w:space="0" w:color="000000"/>
              <w:right w:val="single" w:sz="4" w:space="0" w:color="000000"/>
            </w:tcBorders>
            <w:tcMar>
              <w:top w:w="29" w:type="dxa"/>
              <w:left w:w="115" w:type="dxa"/>
              <w:bottom w:w="29" w:type="dxa"/>
              <w:right w:w="115" w:type="dxa"/>
            </w:tcMar>
            <w:vAlign w:val="center"/>
          </w:tcPr>
          <w:p>
            <w:pPr>
              <w:pStyle w:val="TableContents"/>
              <w:bidi w:val="0"/>
              <w:spacing w:before="0" w:after="283"/>
              <w:jc w:val="left"/>
              <w:rPr/>
            </w:pPr>
            <w:r>
              <w:rPr/>
              <w:t> </w:t>
            </w:r>
          </w:p>
        </w:tc>
        <w:tc>
          <w:tcPr>
            <w:tcW w:w="3138" w:type="dxa"/>
            <w:tcBorders>
              <w:top w:val="single" w:sz="4" w:space="0" w:color="000000"/>
              <w:bottom w:val="single" w:sz="4" w:space="0" w:color="000000"/>
              <w:right w:val="single" w:sz="4" w:space="0" w:color="000000"/>
            </w:tcBorders>
            <w:tcMar>
              <w:top w:w="29" w:type="dxa"/>
              <w:left w:w="0" w:type="dxa"/>
              <w:bottom w:w="29" w:type="dxa"/>
              <w:right w:w="115"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Prior 2026 Full-Year Assumptions</w:t>
            </w:r>
          </w:p>
        </w:tc>
        <w:tc>
          <w:tcPr>
            <w:tcW w:w="3507" w:type="dxa"/>
            <w:tcBorders>
              <w:top w:val="single" w:sz="4" w:space="0" w:color="000000"/>
              <w:bottom w:val="single" w:sz="4" w:space="0" w:color="000000"/>
              <w:right w:val="single" w:sz="4" w:space="0" w:color="000000"/>
            </w:tcBorders>
            <w:tcMar>
              <w:top w:w="29" w:type="dxa"/>
              <w:left w:w="0" w:type="dxa"/>
              <w:bottom w:w="29" w:type="dxa"/>
              <w:right w:w="115"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Updated 2026 Full-Year Assumptions</w:t>
            </w:r>
          </w:p>
        </w:tc>
      </w:tr>
      <w:tr>
        <w:trPr/>
        <w:tc>
          <w:tcPr>
            <w:tcW w:w="3560" w:type="dxa"/>
            <w:tcBorders>
              <w:left w:val="single" w:sz="4" w:space="0" w:color="000000"/>
              <w:bottom w:val="single" w:sz="4" w:space="0" w:color="000000"/>
              <w:right w:val="single" w:sz="4" w:space="0" w:color="000000"/>
            </w:tcBorders>
            <w:shd w:fill="E5E5E5" w:val="clear"/>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MARKET ASSUMPTIONS</w:t>
            </w:r>
          </w:p>
        </w:tc>
        <w:tc>
          <w:tcPr>
            <w:tcW w:w="3138" w:type="dxa"/>
            <w:tcBorders>
              <w:bottom w:val="single" w:sz="4" w:space="0" w:color="000000"/>
              <w:right w:val="single" w:sz="4" w:space="0" w:color="000000"/>
            </w:tcBorders>
            <w:shd w:fill="D9D9D9" w:val="clear"/>
            <w:tcMar>
              <w:top w:w="0" w:type="dxa"/>
              <w:left w:w="0" w:type="dxa"/>
              <w:bottom w:w="29" w:type="dxa"/>
              <w:right w:w="115" w:type="dxa"/>
            </w:tcMar>
            <w:vAlign w:val="center"/>
          </w:tcPr>
          <w:p>
            <w:pPr>
              <w:pStyle w:val="TableContents"/>
              <w:bidi w:val="0"/>
              <w:spacing w:before="0" w:after="283"/>
              <w:jc w:val="left"/>
              <w:rPr/>
            </w:pPr>
            <w:r>
              <w:rPr/>
              <w:t> </w:t>
            </w:r>
          </w:p>
        </w:tc>
        <w:tc>
          <w:tcPr>
            <w:tcW w:w="3507" w:type="dxa"/>
            <w:tcBorders>
              <w:bottom w:val="single" w:sz="4" w:space="0" w:color="000000"/>
              <w:right w:val="single" w:sz="4" w:space="0" w:color="000000"/>
            </w:tcBorders>
            <w:shd w:fill="D9D9D9" w:val="clear"/>
            <w:tcMar>
              <w:top w:w="0" w:type="dxa"/>
              <w:left w:w="0" w:type="dxa"/>
              <w:bottom w:w="29" w:type="dxa"/>
              <w:right w:w="115" w:type="dxa"/>
            </w:tcMar>
            <w:vAlign w:val="center"/>
          </w:tcPr>
          <w:p>
            <w:pPr>
              <w:pStyle w:val="TableContents"/>
              <w:bidi w:val="0"/>
              <w:spacing w:before="0" w:after="283"/>
              <w:jc w:val="left"/>
              <w:rPr/>
            </w:pPr>
            <w:r>
              <w:rPr/>
              <w:t> </w:t>
            </w:r>
          </w:p>
        </w:tc>
      </w:tr>
      <w:tr>
        <w:trPr/>
        <w:tc>
          <w:tcPr>
            <w:tcW w:w="3560"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Global market</w:t>
            </w:r>
          </w:p>
        </w:tc>
        <w:tc>
          <w:tcPr>
            <w:tcW w:w="3138"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Down low single digits</w:t>
            </w:r>
          </w:p>
        </w:tc>
        <w:tc>
          <w:tcPr>
            <w:tcW w:w="3507"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Down low single digits</w:t>
            </w:r>
          </w:p>
        </w:tc>
      </w:tr>
      <w:tr>
        <w:trPr/>
        <w:tc>
          <w:tcPr>
            <w:tcW w:w="3560"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U.S. R&amp;R</w:t>
            </w:r>
          </w:p>
        </w:tc>
        <w:tc>
          <w:tcPr>
            <w:tcW w:w="3138"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Down low single digits</w:t>
            </w:r>
          </w:p>
        </w:tc>
        <w:tc>
          <w:tcPr>
            <w:tcW w:w="3507"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Down low single digits</w:t>
            </w:r>
          </w:p>
        </w:tc>
      </w:tr>
      <w:tr>
        <w:trPr/>
        <w:tc>
          <w:tcPr>
            <w:tcW w:w="3560"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U.S. SFNC</w:t>
            </w:r>
          </w:p>
        </w:tc>
        <w:tc>
          <w:tcPr>
            <w:tcW w:w="3138"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Down mid single digits</w:t>
            </w:r>
          </w:p>
        </w:tc>
        <w:tc>
          <w:tcPr>
            <w:tcW w:w="3507"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Down mid single digits</w:t>
            </w:r>
          </w:p>
        </w:tc>
      </w:tr>
      <w:tr>
        <w:trPr/>
        <w:tc>
          <w:tcPr>
            <w:tcW w:w="3560" w:type="dxa"/>
            <w:tcBorders>
              <w:left w:val="single" w:sz="4" w:space="0" w:color="000000"/>
              <w:bottom w:val="single" w:sz="4" w:space="0" w:color="000000"/>
              <w:right w:val="single" w:sz="4" w:space="0" w:color="000000"/>
            </w:tcBorders>
            <w:shd w:fill="E5E5E5" w:val="clear"/>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TOTAL COMPANY FINANCIAL ASSUMPTIONS</w:t>
            </w:r>
          </w:p>
        </w:tc>
        <w:tc>
          <w:tcPr>
            <w:tcW w:w="3138" w:type="dxa"/>
            <w:tcBorders>
              <w:bottom w:val="single" w:sz="4" w:space="0" w:color="000000"/>
              <w:right w:val="single" w:sz="4" w:space="0" w:color="000000"/>
            </w:tcBorders>
            <w:shd w:fill="E5E5E5" w:val="clear"/>
            <w:tcMar>
              <w:top w:w="0" w:type="dxa"/>
              <w:left w:w="0" w:type="dxa"/>
              <w:bottom w:w="29" w:type="dxa"/>
              <w:right w:w="115" w:type="dxa"/>
            </w:tcMar>
            <w:vAlign w:val="center"/>
          </w:tcPr>
          <w:p>
            <w:pPr>
              <w:pStyle w:val="TableContents"/>
              <w:bidi w:val="0"/>
              <w:spacing w:before="0" w:after="283"/>
              <w:jc w:val="left"/>
              <w:rPr/>
            </w:pPr>
            <w:r>
              <w:rPr/>
              <w:t> </w:t>
            </w:r>
          </w:p>
        </w:tc>
        <w:tc>
          <w:tcPr>
            <w:tcW w:w="3507" w:type="dxa"/>
            <w:tcBorders>
              <w:bottom w:val="single" w:sz="4" w:space="0" w:color="000000"/>
              <w:right w:val="single" w:sz="4" w:space="0" w:color="000000"/>
            </w:tcBorders>
            <w:shd w:fill="D9D9D9" w:val="clear"/>
            <w:tcMar>
              <w:top w:w="0" w:type="dxa"/>
              <w:left w:w="0" w:type="dxa"/>
              <w:bottom w:w="29" w:type="dxa"/>
              <w:right w:w="115" w:type="dxa"/>
            </w:tcMar>
            <w:vAlign w:val="center"/>
          </w:tcPr>
          <w:p>
            <w:pPr>
              <w:pStyle w:val="TableContents"/>
              <w:bidi w:val="0"/>
              <w:spacing w:before="0" w:after="283"/>
              <w:jc w:val="left"/>
              <w:rPr/>
            </w:pPr>
            <w:r>
              <w:rPr/>
              <w:t> </w:t>
            </w:r>
          </w:p>
        </w:tc>
      </w:tr>
      <w:tr>
        <w:trPr/>
        <w:tc>
          <w:tcPr>
            <w:tcW w:w="3560"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Operating margin before charges / gains</w:t>
            </w:r>
          </w:p>
        </w:tc>
        <w:tc>
          <w:tcPr>
            <w:tcW w:w="3138"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14.5% to 15.5%</w:t>
            </w:r>
          </w:p>
        </w:tc>
        <w:tc>
          <w:tcPr>
            <w:tcW w:w="3507"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13.5% to 14.5%</w:t>
            </w:r>
          </w:p>
        </w:tc>
      </w:tr>
      <w:tr>
        <w:trPr/>
        <w:tc>
          <w:tcPr>
            <w:tcW w:w="3560"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Cash flow from operations</w:t>
            </w:r>
          </w:p>
        </w:tc>
        <w:tc>
          <w:tcPr>
            <w:tcW w:w="3138"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$540 million to $560 million</w:t>
            </w:r>
          </w:p>
        </w:tc>
        <w:tc>
          <w:tcPr>
            <w:tcW w:w="3507"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$475 million to $510 million</w:t>
            </w:r>
          </w:p>
        </w:tc>
      </w:tr>
      <w:tr>
        <w:trPr/>
        <w:tc>
          <w:tcPr>
            <w:tcW w:w="3560"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Free cash flow</w:t>
            </w:r>
          </w:p>
        </w:tc>
        <w:tc>
          <w:tcPr>
            <w:tcW w:w="3138"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$400 million to $450 million</w:t>
            </w:r>
          </w:p>
        </w:tc>
        <w:tc>
          <w:tcPr>
            <w:tcW w:w="3507"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$350 million to $400 million</w:t>
            </w:r>
          </w:p>
        </w:tc>
      </w:tr>
      <w:tr>
        <w:trPr/>
        <w:tc>
          <w:tcPr>
            <w:tcW w:w="3560" w:type="dxa"/>
            <w:tcBorders>
              <w:left w:val="single" w:sz="4" w:space="0" w:color="000000"/>
              <w:bottom w:val="single" w:sz="4" w:space="0" w:color="000000"/>
              <w:right w:val="single" w:sz="4" w:space="0" w:color="000000"/>
            </w:tcBorders>
            <w:shd w:fill="E5E5E5" w:val="clear"/>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OTHER ASSUMPTIONS</w:t>
            </w:r>
          </w:p>
        </w:tc>
        <w:tc>
          <w:tcPr>
            <w:tcW w:w="3138" w:type="dxa"/>
            <w:tcBorders>
              <w:bottom w:val="single" w:sz="4" w:space="0" w:color="000000"/>
              <w:right w:val="single" w:sz="4" w:space="0" w:color="000000"/>
            </w:tcBorders>
            <w:shd w:fill="E5E5E5" w:val="clear"/>
            <w:tcMar>
              <w:top w:w="0" w:type="dxa"/>
              <w:left w:w="0" w:type="dxa"/>
              <w:bottom w:w="29" w:type="dxa"/>
              <w:right w:w="115" w:type="dxa"/>
            </w:tcMar>
            <w:vAlign w:val="center"/>
          </w:tcPr>
          <w:p>
            <w:pPr>
              <w:pStyle w:val="TableContents"/>
              <w:bidi w:val="0"/>
              <w:spacing w:before="0" w:after="283"/>
              <w:jc w:val="left"/>
              <w:rPr/>
            </w:pPr>
            <w:r>
              <w:rPr/>
              <w:t> </w:t>
            </w:r>
          </w:p>
        </w:tc>
        <w:tc>
          <w:tcPr>
            <w:tcW w:w="3507" w:type="dxa"/>
            <w:tcBorders>
              <w:bottom w:val="single" w:sz="4" w:space="0" w:color="000000"/>
              <w:right w:val="single" w:sz="4" w:space="0" w:color="000000"/>
            </w:tcBorders>
            <w:shd w:fill="E5E5E5" w:val="clear"/>
            <w:tcMar>
              <w:top w:w="0" w:type="dxa"/>
              <w:left w:w="0" w:type="dxa"/>
              <w:bottom w:w="29" w:type="dxa"/>
              <w:right w:w="115" w:type="dxa"/>
            </w:tcMar>
            <w:vAlign w:val="center"/>
          </w:tcPr>
          <w:p>
            <w:pPr>
              <w:pStyle w:val="TableContents"/>
              <w:bidi w:val="0"/>
              <w:spacing w:before="0" w:after="283"/>
              <w:jc w:val="left"/>
              <w:rPr/>
            </w:pPr>
            <w:r>
              <w:rPr/>
              <w:t> </w:t>
            </w:r>
          </w:p>
        </w:tc>
      </w:tr>
      <w:tr>
        <w:trPr/>
        <w:tc>
          <w:tcPr>
            <w:tcW w:w="3560"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Interest Expense</w:t>
            </w:r>
          </w:p>
        </w:tc>
        <w:tc>
          <w:tcPr>
            <w:tcW w:w="3138"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$110 million to $115 million</w:t>
            </w:r>
          </w:p>
        </w:tc>
        <w:tc>
          <w:tcPr>
            <w:tcW w:w="3507"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$110 million to $115 million</w:t>
            </w:r>
          </w:p>
        </w:tc>
      </w:tr>
      <w:tr>
        <w:trPr/>
        <w:tc>
          <w:tcPr>
            <w:tcW w:w="3560"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Capex</w:t>
            </w:r>
          </w:p>
        </w:tc>
        <w:tc>
          <w:tcPr>
            <w:tcW w:w="3138"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$110 million to $140 million</w:t>
            </w:r>
          </w:p>
        </w:tc>
        <w:tc>
          <w:tcPr>
            <w:tcW w:w="3507"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$110 million to $125 million</w:t>
            </w:r>
          </w:p>
        </w:tc>
      </w:tr>
      <w:tr>
        <w:trPr/>
        <w:tc>
          <w:tcPr>
            <w:tcW w:w="3560"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Tax Rate</w:t>
            </w:r>
          </w:p>
        </w:tc>
        <w:tc>
          <w:tcPr>
            <w:tcW w:w="3138"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24.0% to 24.5%</w:t>
            </w:r>
          </w:p>
        </w:tc>
        <w:tc>
          <w:tcPr>
            <w:tcW w:w="3507"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24.0% to 24.5%</w:t>
            </w:r>
          </w:p>
        </w:tc>
      </w:tr>
      <w:tr>
        <w:trPr/>
        <w:tc>
          <w:tcPr>
            <w:tcW w:w="3560"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Share Count</w:t>
            </w:r>
          </w:p>
        </w:tc>
        <w:tc>
          <w:tcPr>
            <w:tcW w:w="3138"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120 million to 120.5 million</w:t>
            </w:r>
          </w:p>
        </w:tc>
        <w:tc>
          <w:tcPr>
            <w:tcW w:w="3507"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120 million to 120.5 million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Onest;sans-serif" w:hAnsi="Onest;sans-serif"/>
          <w:color w:val="000000"/>
          <w:sz w:val="20"/>
        </w:rPr>
      </w:pPr>
      <w:r>
        <w:rPr>
          <w:rFonts w:ascii="Onest;sans-serif" w:hAnsi="Onest;sans-serif"/>
          <w:color w:val="000000"/>
          <w:sz w:val="20"/>
        </w:rPr>
        <w:t>For certain forward-looking non-GAAP measures (as used in this press release, operating margin before charges / gains and EPS before charges / gains), the Company is unable to provide a reconciliation to the most comparable GAAP financial measure because the information needed to reconcile the non-GAAP financial measure to the GAAP financial measure is unavailable due to the inherent difficulty of forecasting the timing and / or amount of various items that have not yet occurred, including the high variability and low visibility with respect to gains and losses associated with our defined benefit plans, which are excluded from EPS before charges / gains and restructuring and other charges, which are excluded from operating margin before charges / gains and EPS before charges / gains. Additionally, estimating such GAAP measures and providing a meaningful reconciliation consistent with the Company’s accounting policies for future periods requires a level of precision that is unavailable for these future periods and cannot be accomplished without unreasonable effort. Forward-looking non-GAAP measures are estimated consistent with the relevant definitions and assumptions.</w:t>
      </w:r>
    </w:p>
    <w:p>
      <w:pPr>
        <w:pStyle w:val="TextBody"/>
        <w:bidi w:val="0"/>
        <w:spacing w:before="240" w:after="283"/>
        <w:jc w:val="left"/>
        <w:rPr>
          <w:rFonts w:ascii="Onest;sans-serif" w:hAnsi="Onest;sans-serif"/>
          <w:b/>
          <w:color w:val="000000"/>
          <w:sz w:val="20"/>
          <w:u w:val="single"/>
        </w:rPr>
      </w:pPr>
      <w:r>
        <w:rPr>
          <w:rFonts w:ascii="Onest;sans-serif" w:hAnsi="Onest;sans-serif"/>
          <w:b/>
          <w:color w:val="000000"/>
          <w:sz w:val="20"/>
          <w:u w:val="single"/>
        </w:rPr>
        <w:t>Conference Call Details</w:t>
      </w:r>
    </w:p>
    <w:p>
      <w:pPr>
        <w:pStyle w:val="TextBody"/>
        <w:bidi w:val="0"/>
        <w:jc w:val="left"/>
        <w:rPr>
          <w:rFonts w:ascii="Onest;sans-serif" w:hAnsi="Onest;sans-serif"/>
          <w:color w:val="000000"/>
          <w:sz w:val="20"/>
        </w:rPr>
      </w:pPr>
      <w:r>
        <w:rPr>
          <w:rFonts w:ascii="Onest;sans-serif" w:hAnsi="Onest;sans-serif"/>
          <w:color w:val="000000"/>
          <w:sz w:val="20"/>
        </w:rPr>
        <w:t>Today at 5:00 p.m. ET, Fortune Brands will host an investor conference call to discuss results. A live internet audio webcast of the conference call and earnings presentation will be available on the Fortune Brands website at ir.fbin.com/upcoming-events. It is recommended that listeners log on at least 10 minutes prior to the start of the call. A recorded replay of the call will be made available on the Company’s website shortly after the call has ended.</w:t>
      </w:r>
    </w:p>
    <w:p>
      <w:pPr>
        <w:pStyle w:val="TextBody"/>
        <w:bidi w:val="0"/>
        <w:spacing w:before="240" w:after="283"/>
        <w:jc w:val="left"/>
        <w:rPr>
          <w:rFonts w:ascii="Onest;sans-serif" w:hAnsi="Onest;sans-serif"/>
          <w:b/>
          <w:color w:val="000000"/>
          <w:sz w:val="20"/>
          <w:u w:val="single"/>
        </w:rPr>
      </w:pPr>
      <w:r>
        <w:rPr>
          <w:rFonts w:ascii="Onest;sans-serif" w:hAnsi="Onest;sans-serif"/>
          <w:b/>
          <w:color w:val="000000"/>
          <w:sz w:val="20"/>
          <w:u w:val="single"/>
        </w:rPr>
        <w:t>About Fortune Brands Innovations</w:t>
      </w:r>
    </w:p>
    <w:p>
      <w:pPr>
        <w:pStyle w:val="TextBody"/>
        <w:bidi w:val="0"/>
        <w:jc w:val="left"/>
        <w:rPr>
          <w:rFonts w:ascii="Times New Roman" w:hAnsi="Times New Roman"/>
          <w:sz w:val="20"/>
        </w:rPr>
      </w:pPr>
      <w:r>
        <w:rPr>
          <w:rFonts w:ascii="Onest;sans-serif" w:hAnsi="Onest;sans-serif"/>
          <w:color w:val="000000"/>
          <w:sz w:val="20"/>
        </w:rPr>
        <w:t xml:space="preserve">Fortune Brands Innovations, Inc. (NYSE: FBIN) is an industry-leading home, security and digital products company whose purpose is to elevate every life by transforming spaces into havens. The Company makes innovative products for residential and commercial environments, with a growing focus on digital solutions and products that add luxury, contribute to safety and enhance sustainability. The Company’s trusted brands include Moen, House of Rohl, Aqualisa, SpringWell, Therma-Tru, Larson, Fiberon, Master Lock, Sentry Safe and Yale residential. Learn more at </w:t>
      </w:r>
      <w:r>
        <w:rPr>
          <w:rFonts w:ascii="Onest;sans-serif" w:hAnsi="Onest;sans-serif"/>
          <w:color w:val="0000FF"/>
          <w:sz w:val="20"/>
          <w:u w:val="single"/>
        </w:rPr>
        <w:t>www.fbin.com</w:t>
      </w:r>
      <w:r>
        <w:rPr>
          <w:rFonts w:ascii="Onest;sans-serif" w:hAnsi="Onest;sans-serif"/>
          <w:color w:val="000000"/>
          <w:sz w:val="20"/>
        </w:rPr>
        <w:t>.</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Onest;sans-serif" w:hAnsi="Onest;sans-serif"/>
          <w:b/>
          <w:color w:val="000000"/>
          <w:sz w:val="19"/>
        </w:rPr>
      </w:pPr>
      <w:r>
        <w:rPr>
          <w:rFonts w:ascii="Onest;sans-serif" w:hAnsi="Onest;sans-serif"/>
          <w:b/>
          <w:color w:val="000000"/>
          <w:sz w:val="19"/>
        </w:rPr>
        <w:t>CAUTIONARY STATEMENT CONCERNING FORWARD-LOOKING STATEMENTS</w:t>
      </w:r>
    </w:p>
    <w:p>
      <w:pPr>
        <w:pStyle w:val="TextBody"/>
        <w:bidi w:val="0"/>
        <w:spacing w:before="0" w:after="160"/>
        <w:jc w:val="left"/>
        <w:rPr>
          <w:rFonts w:ascii="Times New Roman" w:hAnsi="Times New Roman"/>
          <w:sz w:val="20"/>
        </w:rPr>
      </w:pPr>
      <w:r>
        <w:rPr>
          <w:rFonts w:ascii="Onest;sans-serif" w:hAnsi="Onest;sans-serif"/>
          <w:color w:val="000000"/>
          <w:sz w:val="20"/>
        </w:rPr>
        <w:t>This press release contains forward-looking statements that are made pursuant to the safe harbor provisions of Section 27A of the Securities Act of 1933, as amended, and Section 21E of the Securities Exchange Act of 1934, as amended. Forward-looking statements include all statements that are not historical statements of fact and those regarding our intent, belief or expectations for our business, operations, financial performance or financial condition in addition to statements regarding our expectations for the markets in which we operate, general business strategies, expected impacts from recently-announced organizational and leadership changes, ongoing succession planning, the market potential of our brands, trends in the housing market, the potential impact of costs, including material and labor costs, the other potential impacts of inflation, including consumer spending, expected capital spending, expected pension contributions or de-risking initiatives, the expected impact of acquisitions, dispositions and other strategic transactions, the anticipated impact of recently issued accounting standards on our financial statements, and other matters that are not historical in nature. Statements preceded by, followed by or that otherwise include the words “believes,” “expects,” “anticipates,” “intends,” “projects,” “estimates,” “plans,” “outlook,” “positioned,” “confident,” “opportunity,” “focus,” "on track" and similar expressions or future or conditional verbs such as “will,” “should,” “would,” “may,” and “could” are generally forward-looking in nature and not historical facts. Where, in any forward-looking statement, we express an expectation or belief as to future results or events, such expectation or belief is based on current expectations, estimates, assumptions and projections of our management about our industry, business and future financial results, available at the time this press release is issued. Although we believe that these statements are based on reasonable assumptions, they are subject to numerous factors, risks and uncertainties that could cause actual outcomes and results to be materially different from those indicated in such statements, including but not limited to: (i) our reliance on the North American and Chinese home improvement, repair and remodel and new home construction activity levels, (ii) the housing market, downward changes in the general economy, unfavorable interest rates or other business conditions, (iii) the competitive nature of consumer and trade brand businesses, (iv) our ability to execute on our strategic plans and the effectiveness of our strategies in the face of business competition, (v) our reliance on key customers and suppliers, including wholesale distributors and dealers and retailers, (vi) risks associated with our recent leadership changes and our search process to identify our next CEO and CFO, (vii) risks relating to rapidly evolving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Onest;sans-serif" w:hAnsi="Onest;sans-serif"/>
          <w:color w:val="000000"/>
          <w:sz w:val="20"/>
        </w:rPr>
      </w:pPr>
      <w:r>
        <w:rPr>
          <w:rFonts w:ascii="Onest;sans-serif" w:hAnsi="Onest;sans-serif"/>
          <w:color w:val="000000"/>
          <w:sz w:val="20"/>
        </w:rPr>
        <w:t>technological change, (viii) risks associated with our ability to improve organizational productivity and global supply chain efficiency and flexibility, (ix) risks associated with global commodity and energy availability and price volatility, as well as the possibility of sustained inflation, (x) delays or outages in our information technology systems or computer networks or breaches of our information technology systems or other cybersecurity incidents, (xi) risks associated with doing business globally, including changes in trade-related tariffs (including recent U.S. tariffs announced or imposed on China, Canada, Mexico and other countries and any reciprocal actions taken by such countries) and risks with uncertain trade environments, (xii) risks associated with the disruption of operations, including as a result of severe weather events, (xiii) our inability to obtain raw materials and finished goods in a timely and cost-effective manner, (xiv) risks associated with strategic acquisitions, divestitures and joint ventures, including difficulties integrating acquired companies and the inability to achieve the expected financial results and benefits of transactions, (xv) impairments in the carrying value of goodwill or other acquired intangible assets, (xvi) risks of increases in our defined benefit-related costs and funding requirements, (xvii) our ability to attract and retain qualified personnel and other labor constraints, (xviii) the effect of climate change and the impact of related changes in government regulations and consumer preferences, (xix) risks associated with environmental, social and governance matters, (xx) potential liabilities and costs from claims and litigation, (xxi) changes in government and industry regulatory standards, (xxii) future tax law changes or the interpretation of existing tax laws, and (xxiii) our ability to secure and protect our intellectual property rights. These and other factors are discussed in Part I, Item 1A “Risk Factors” of our Annual Report on Form 10-K for the year ended December 27, 2025. We undertake no obligation to, and expressly disclaim any such obligation to, update or clarify any forward-looking statements to reflect changed assumptions, the occurrence of anticipated or unanticipated events, new information or changes to future results over time or otherwise, except as required by law.</w:t>
      </w:r>
    </w:p>
    <w:p>
      <w:pPr>
        <w:pStyle w:val="TextBody"/>
        <w:bidi w:val="0"/>
        <w:spacing w:before="80" w:after="283"/>
        <w:jc w:val="left"/>
        <w:rPr>
          <w:rFonts w:ascii="Onest;sans-serif" w:hAnsi="Onest;sans-serif"/>
          <w:b/>
          <w:color w:val="000000"/>
          <w:sz w:val="19"/>
        </w:rPr>
      </w:pPr>
      <w:r>
        <w:rPr>
          <w:rFonts w:ascii="Onest;sans-serif" w:hAnsi="Onest;sans-serif"/>
          <w:b/>
          <w:color w:val="000000"/>
          <w:sz w:val="19"/>
        </w:rPr>
        <w:t>Use of Non-GAAP Financial Information</w:t>
      </w:r>
    </w:p>
    <w:p>
      <w:pPr>
        <w:pStyle w:val="TextBody"/>
        <w:bidi w:val="0"/>
        <w:jc w:val="left"/>
        <w:rPr>
          <w:rFonts w:ascii="Onest;sans-serif" w:hAnsi="Onest;sans-serif"/>
          <w:color w:val="000000"/>
          <w:sz w:val="20"/>
        </w:rPr>
      </w:pPr>
      <w:r>
        <w:rPr>
          <w:rFonts w:ascii="Onest;sans-serif" w:hAnsi="Onest;sans-serif"/>
          <w:color w:val="000000"/>
          <w:sz w:val="20"/>
        </w:rPr>
        <w:t>This press release includes measures not derived in accordance with generally accepted accounting principles (“GAAP”), such as diluted earnings per share before charges / gains, operating income before charges / gains, operating margin before charges / gains, net debt, net debt to EBITDA before charges / gains, sales excluding the impact of China and free cash flow. These non-GAAP measures should not be considered in isolation or as a substitute for any measure derived in accordance with GAAP and may also be inconsistent with similar measures presented by other companies. Reconciliations of these measures to the applicable most closely comparable GAAP measures, and reasons for the Company’s use of these measures, are presented in the attached pages.</w:t>
      </w:r>
    </w:p>
    <w:p>
      <w:pPr>
        <w:pStyle w:val="TextBody"/>
        <w:bidi w:val="0"/>
        <w:jc w:val="left"/>
        <w:rPr/>
      </w:pPr>
      <w:r>
        <w:rPr/>
        <w:t> </w:t>
      </w:r>
    </w:p>
    <w:p>
      <w:pPr>
        <w:pStyle w:val="TextBody"/>
        <w:bidi w:val="0"/>
        <w:spacing w:before="200" w:after="283"/>
        <w:jc w:val="left"/>
        <w:rPr>
          <w:rFonts w:ascii="Times New Roman" w:hAnsi="Times New Roman"/>
          <w:sz w:val="20"/>
        </w:rPr>
      </w:pPr>
      <w:r>
        <w:rPr>
          <w:rFonts w:ascii="Onest;sans-serif" w:hAnsi="Onest;sans-serif"/>
          <w:color w:val="000000"/>
          <w:sz w:val="20"/>
        </w:rPr>
        <w:t>Source: Fortune Brands Innovations, Inc.</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Onest;sans-serif" w:hAnsi="Onest;sans-serif"/>
          <w:color w:val="000000"/>
          <w:sz w:val="20"/>
        </w:rPr>
      </w:pPr>
      <w:r>
        <w:rPr>
          <w:rFonts w:ascii="Onest;sans-serif" w:hAnsi="Onest;sans-serif"/>
          <w:color w:val="000000"/>
          <w:sz w:val="20"/>
        </w:rPr>
        <w:t>INVESTOR CONTACT:</w:t>
      </w:r>
    </w:p>
    <w:p>
      <w:pPr>
        <w:pStyle w:val="TextBody"/>
        <w:bidi w:val="0"/>
        <w:jc w:val="left"/>
        <w:rPr>
          <w:rFonts w:ascii="Onest;sans-serif" w:hAnsi="Onest;sans-serif"/>
          <w:color w:val="000000"/>
          <w:sz w:val="20"/>
        </w:rPr>
      </w:pPr>
      <w:r>
        <w:rPr>
          <w:rFonts w:ascii="Onest;sans-serif" w:hAnsi="Onest;sans-serif"/>
          <w:color w:val="000000"/>
          <w:sz w:val="20"/>
        </w:rPr>
        <w:t>Curt Worthington</w:t>
      </w:r>
    </w:p>
    <w:p>
      <w:pPr>
        <w:pStyle w:val="TextBody"/>
        <w:bidi w:val="0"/>
        <w:jc w:val="left"/>
        <w:rPr>
          <w:rFonts w:ascii="Onest;sans-serif" w:hAnsi="Onest;sans-serif"/>
          <w:color w:val="000000"/>
          <w:sz w:val="20"/>
        </w:rPr>
      </w:pPr>
      <w:r>
        <w:rPr>
          <w:rFonts w:ascii="Onest;sans-serif" w:hAnsi="Onest;sans-serif"/>
          <w:color w:val="000000"/>
          <w:sz w:val="20"/>
        </w:rPr>
        <w:t>Investor.Questions@fbin.com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Onest;sans-serif" w:hAnsi="Onest;sans-serif"/>
          <w:b/>
          <w:color w:val="000000"/>
          <w:sz w:val="19"/>
        </w:rPr>
      </w:pPr>
      <w:r>
        <w:rPr>
          <w:rFonts w:ascii="Onest;sans-serif" w:hAnsi="Onest;sans-serif"/>
          <w:b/>
          <w:color w:val="000000"/>
          <w:sz w:val="19"/>
        </w:rPr>
        <w:t>FORTUNE BRANDS INNOVATIONS, INC.</w:t>
      </w:r>
    </w:p>
    <w:p>
      <w:pPr>
        <w:pStyle w:val="TextBody"/>
        <w:bidi w:val="0"/>
        <w:jc w:val="left"/>
        <w:rPr>
          <w:rFonts w:ascii="Onest;sans-serif" w:hAnsi="Onest;sans-serif"/>
          <w:color w:val="000000"/>
          <w:sz w:val="19"/>
        </w:rPr>
      </w:pPr>
      <w:r>
        <w:rPr>
          <w:rFonts w:ascii="Onest;sans-serif" w:hAnsi="Onest;sans-serif"/>
          <w:color w:val="000000"/>
          <w:sz w:val="19"/>
        </w:rPr>
        <w:t>(In millions)</w:t>
      </w:r>
    </w:p>
    <w:p>
      <w:pPr>
        <w:pStyle w:val="TextBody"/>
        <w:bidi w:val="0"/>
        <w:jc w:val="left"/>
        <w:rPr>
          <w:rFonts w:ascii="Onest;sans-serif" w:hAnsi="Onest;sans-serif"/>
          <w:i/>
          <w:color w:val="000000"/>
          <w:sz w:val="19"/>
        </w:rPr>
      </w:pPr>
      <w:r>
        <w:rPr>
          <w:rFonts w:ascii="Onest;sans-serif" w:hAnsi="Onest;sans-serif"/>
          <w:i/>
          <w:color w:val="000000"/>
          <w:sz w:val="19"/>
        </w:rPr>
        <w:t>(Unaudited)</w:t>
      </w:r>
    </w:p>
    <w:p>
      <w:pPr>
        <w:pStyle w:val="TextBody"/>
        <w:bidi w:val="0"/>
        <w:jc w:val="left"/>
        <w:rPr/>
      </w:pPr>
      <w:r>
        <w:rPr/>
        <w:t> </w:t>
      </w:r>
    </w:p>
    <w:tbl>
      <w:tblPr>
        <w:tblW w:w="6588" w:type="dxa"/>
        <w:jc w:val="left"/>
        <w:tblInd w:w="0" w:type="dxa"/>
        <w:tblLayout w:type="fixed"/>
        <w:tblCellMar>
          <w:top w:w="28" w:type="dxa"/>
          <w:left w:w="28" w:type="dxa"/>
          <w:bottom w:w="28" w:type="dxa"/>
          <w:right w:w="28" w:type="dxa"/>
        </w:tblCellMar>
      </w:tblPr>
      <w:tblGrid>
        <w:gridCol w:w="1396"/>
        <w:gridCol w:w="146"/>
        <w:gridCol w:w="286"/>
        <w:gridCol w:w="944"/>
        <w:gridCol w:w="146"/>
        <w:gridCol w:w="286"/>
        <w:gridCol w:w="944"/>
        <w:gridCol w:w="146"/>
        <w:gridCol w:w="230"/>
        <w:gridCol w:w="566"/>
        <w:gridCol w:w="166"/>
        <w:gridCol w:w="228"/>
        <w:gridCol w:w="613"/>
        <w:gridCol w:w="49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06" w:type="dxa"/>
            <w:gridSpan w:val="5"/>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Thirteen Weeks Period</w:t>
            </w:r>
          </w:p>
        </w:tc>
        <w:tc>
          <w:tcPr>
            <w:tcW w:w="14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pPr>
            <w:r>
              <w:rPr/>
              <w:t> </w:t>
            </w:r>
          </w:p>
        </w:tc>
        <w:tc>
          <w:tcPr>
            <w:tcW w:w="796" w:type="dxa"/>
            <w:gridSpan w:val="2"/>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left"/>
              <w:rPr/>
            </w:pPr>
            <w:r>
              <w:rPr/>
              <w:t> </w:t>
            </w:r>
          </w:p>
        </w:tc>
        <w:tc>
          <w:tcPr>
            <w:tcW w:w="16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left"/>
              <w:rPr/>
            </w:pPr>
            <w:r>
              <w:rPr/>
              <w:t> </w:t>
            </w:r>
          </w:p>
        </w:tc>
        <w:tc>
          <w:tcPr>
            <w:tcW w:w="841" w:type="dxa"/>
            <w:gridSpan w:val="2"/>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left"/>
              <w:rPr/>
            </w:pPr>
            <w:r>
              <w:rPr/>
              <w:t> </w:t>
            </w:r>
          </w:p>
        </w:tc>
        <w:tc>
          <w:tcPr>
            <w:tcW w:w="491"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3"/>
              </w:rPr>
            </w:pPr>
            <w:r>
              <w:rPr>
                <w:rFonts w:ascii="Onest;sans-serif" w:hAnsi="Onest;sans-serif"/>
                <w:b/>
                <w:color w:val="000000"/>
                <w:sz w:val="13"/>
              </w:rPr>
              <w:t>Net sales (GAAP)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March 28, 2026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March 29, 2025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 Change</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 Change</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80"/>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Water</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563.7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565.4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(1.7</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(0.3</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Outdoors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294.4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304.7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(10.3</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(3.4</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Security</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153.2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163.0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(9.8</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(6.0</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3"/>
              </w:rPr>
            </w:pPr>
            <w:r>
              <w:rPr>
                <w:rFonts w:ascii="Onest;sans-serif" w:hAnsi="Onest;sans-serif"/>
                <w:b/>
                <w:color w:val="000000"/>
                <w:sz w:val="13"/>
              </w:rPr>
              <w:t>Total net sales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1,011.3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1,033.1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(21.8</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(2.1</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r>
    </w:tbl>
    <w:p>
      <w:pPr>
        <w:pStyle w:val="TextBody"/>
        <w:bidi w:val="0"/>
        <w:jc w:val="left"/>
        <w:rPr/>
      </w:pPr>
      <w:r>
        <w:rPr/>
        <w:t> </w:t>
      </w:r>
    </w:p>
    <w:p>
      <w:pPr>
        <w:pStyle w:val="TextBody"/>
        <w:bidi w:val="0"/>
        <w:jc w:val="left"/>
        <w:rPr/>
      </w:pPr>
      <w:r>
        <w:rPr/>
        <w:t> </w:t>
      </w:r>
    </w:p>
    <w:p>
      <w:pPr>
        <w:pStyle w:val="TextBody"/>
        <w:bidi w:val="0"/>
        <w:jc w:val="left"/>
        <w:rPr>
          <w:rFonts w:ascii="Onest;sans-serif" w:hAnsi="Onest;sans-serif"/>
          <w:b/>
          <w:color w:val="000000"/>
          <w:sz w:val="19"/>
        </w:rPr>
      </w:pPr>
      <w:r>
        <w:rPr>
          <w:rFonts w:ascii="Onest;sans-serif" w:hAnsi="Onest;sans-serif"/>
          <w:b/>
          <w:color w:val="000000"/>
          <w:sz w:val="19"/>
        </w:rPr>
        <w:t>RECONCILIATIONS OF GAAP OPERATING INCOME TO OPERATING INCOME BEFORE CHARGES/GAINS</w:t>
      </w:r>
    </w:p>
    <w:p>
      <w:pPr>
        <w:pStyle w:val="TextBody"/>
        <w:bidi w:val="0"/>
        <w:jc w:val="left"/>
        <w:rPr>
          <w:rFonts w:ascii="Onest;sans-serif" w:hAnsi="Onest;sans-serif"/>
          <w:b/>
          <w:color w:val="000000"/>
          <w:sz w:val="19"/>
        </w:rPr>
      </w:pPr>
      <w:r>
        <w:rPr>
          <w:rFonts w:ascii="Onest;sans-serif" w:hAnsi="Onest;sans-serif"/>
          <w:b/>
          <w:color w:val="000000"/>
          <w:sz w:val="19"/>
        </w:rPr>
        <w:t>(In millions)</w:t>
      </w:r>
    </w:p>
    <w:p>
      <w:pPr>
        <w:pStyle w:val="TextBody"/>
        <w:bidi w:val="0"/>
        <w:jc w:val="left"/>
        <w:rPr>
          <w:rFonts w:ascii="Onest;sans-serif" w:hAnsi="Onest;sans-serif"/>
          <w:i/>
          <w:color w:val="000000"/>
          <w:sz w:val="19"/>
        </w:rPr>
      </w:pPr>
      <w:r>
        <w:rPr>
          <w:rFonts w:ascii="Onest;sans-serif" w:hAnsi="Onest;sans-serif"/>
          <w:i/>
          <w:color w:val="000000"/>
          <w:sz w:val="19"/>
        </w:rPr>
        <w:t>(Unaudited)</w:t>
      </w:r>
    </w:p>
    <w:tbl>
      <w:tblPr>
        <w:tblW w:w="9709" w:type="dxa"/>
        <w:jc w:val="left"/>
        <w:tblInd w:w="0" w:type="dxa"/>
        <w:tblLayout w:type="fixed"/>
        <w:tblCellMar>
          <w:top w:w="28" w:type="dxa"/>
          <w:left w:w="28" w:type="dxa"/>
          <w:bottom w:w="28" w:type="dxa"/>
          <w:right w:w="28" w:type="dxa"/>
        </w:tblCellMar>
      </w:tblPr>
      <w:tblGrid>
        <w:gridCol w:w="4476"/>
        <w:gridCol w:w="146"/>
        <w:gridCol w:w="340"/>
        <w:gridCol w:w="890"/>
        <w:gridCol w:w="187"/>
        <w:gridCol w:w="340"/>
        <w:gridCol w:w="890"/>
        <w:gridCol w:w="146"/>
        <w:gridCol w:w="230"/>
        <w:gridCol w:w="566"/>
        <w:gridCol w:w="166"/>
        <w:gridCol w:w="171"/>
        <w:gridCol w:w="670"/>
        <w:gridCol w:w="491"/>
      </w:tblGrid>
      <w:tr>
        <w:trPr/>
        <w:tc>
          <w:tcPr>
            <w:tcW w:w="4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47" w:type="dxa"/>
            <w:gridSpan w:val="5"/>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Thirteen Weeks Period</w:t>
            </w:r>
          </w:p>
        </w:tc>
        <w:tc>
          <w:tcPr>
            <w:tcW w:w="14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pPr>
            <w:r>
              <w:rPr/>
              <w:t> </w:t>
            </w:r>
          </w:p>
        </w:tc>
        <w:tc>
          <w:tcPr>
            <w:tcW w:w="796" w:type="dxa"/>
            <w:gridSpan w:val="2"/>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left"/>
              <w:rPr/>
            </w:pPr>
            <w:r>
              <w:rPr/>
              <w:t> </w:t>
            </w:r>
          </w:p>
        </w:tc>
        <w:tc>
          <w:tcPr>
            <w:tcW w:w="16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left"/>
              <w:rPr/>
            </w:pPr>
            <w:r>
              <w:rPr/>
              <w:t> </w:t>
            </w:r>
          </w:p>
        </w:tc>
        <w:tc>
          <w:tcPr>
            <w:tcW w:w="841" w:type="dxa"/>
            <w:gridSpan w:val="2"/>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left"/>
              <w:rPr/>
            </w:pPr>
            <w:r>
              <w:rPr/>
              <w:t> </w:t>
            </w:r>
          </w:p>
        </w:tc>
        <w:tc>
          <w:tcPr>
            <w:tcW w:w="491"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March 28, 2026</w:t>
            </w:r>
          </w:p>
        </w:tc>
        <w:tc>
          <w:tcPr>
            <w:tcW w:w="18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March 29, 2025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 Change</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 Change</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3"/>
              </w:rPr>
            </w:pPr>
            <w:r>
              <w:rPr>
                <w:rFonts w:ascii="Onest;sans-serif" w:hAnsi="Onest;sans-serif"/>
                <w:b/>
                <w:color w:val="000000"/>
                <w:sz w:val="13"/>
              </w:rPr>
              <w:t>WATER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3"/>
              </w:rPr>
            </w:pPr>
            <w:r>
              <w:rPr>
                <w:rFonts w:ascii="Onest;sans-serif" w:hAnsi="Onest;sans-serif"/>
                <w:b/>
                <w:color w:val="000000"/>
                <w:sz w:val="13"/>
              </w:rPr>
              <w:t>Operating income (GAAP)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103.7</w:t>
            </w:r>
          </w:p>
        </w:tc>
        <w:tc>
          <w:tcPr>
            <w:tcW w:w="18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103.2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0.5</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0.5</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Restructuring charges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2.3</w:t>
            </w:r>
          </w:p>
        </w:tc>
        <w:tc>
          <w:tcPr>
            <w:tcW w:w="18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9.6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(7.3</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(76.0</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Other charges/(gains)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Cost of products sold</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8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(0.4</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(100.0</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Selling, general and administrative expenses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0.1</w:t>
            </w:r>
          </w:p>
        </w:tc>
        <w:tc>
          <w:tcPr>
            <w:tcW w:w="18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0.1</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100.0</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Onest;sans-serif" w:hAnsi="Onest;sans-serif"/>
                <w:b/>
                <w:color w:val="000000"/>
                <w:sz w:val="13"/>
              </w:rPr>
              <w:t xml:space="preserve">Operating income before charges/(gains) </w:t>
            </w:r>
            <w:r>
              <w:rPr>
                <w:rFonts w:ascii="Onest;sans-serif" w:hAnsi="Onest;sans-serif"/>
                <w:b/>
                <w:color w:val="000000"/>
                <w:sz w:val="9"/>
              </w:rPr>
              <w:t>(a)</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8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106.1</w:t>
            </w:r>
          </w:p>
        </w:tc>
        <w:tc>
          <w:tcPr>
            <w:tcW w:w="187"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3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8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113.2</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23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(7.1</w:t>
            </w:r>
          </w:p>
        </w:tc>
        <w:tc>
          <w:tcPr>
            <w:tcW w:w="16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(6.3</w:t>
            </w:r>
          </w:p>
        </w:tc>
        <w:tc>
          <w:tcPr>
            <w:tcW w:w="49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3"/>
              </w:rPr>
            </w:pPr>
            <w:r>
              <w:rPr>
                <w:rFonts w:ascii="Onest;sans-serif" w:hAnsi="Onest;sans-serif"/>
                <w:b/>
                <w:color w:val="000000"/>
                <w:sz w:val="13"/>
              </w:rPr>
              <w:t>OUTDOORS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3"/>
              </w:rPr>
            </w:pPr>
            <w:r>
              <w:rPr>
                <w:rFonts w:ascii="Onest;sans-serif" w:hAnsi="Onest;sans-serif"/>
                <w:b/>
                <w:color w:val="000000"/>
                <w:sz w:val="13"/>
              </w:rPr>
              <w:t>Operating (loss) income (GAAP)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17.4</w:t>
            </w:r>
          </w:p>
        </w:tc>
        <w:tc>
          <w:tcPr>
            <w:tcW w:w="18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22.6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(5.2</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(23.0</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Restructuring charges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0.1</w:t>
            </w:r>
          </w:p>
        </w:tc>
        <w:tc>
          <w:tcPr>
            <w:tcW w:w="18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(2.4</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(96.0</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Other charges/(gains)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Cost of products sold</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0.8</w:t>
            </w:r>
          </w:p>
        </w:tc>
        <w:tc>
          <w:tcPr>
            <w:tcW w:w="18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5.6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(4.8</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(85.7</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Selling, general and administrative expenses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8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(100.0</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3"/>
              </w:rPr>
            </w:pPr>
            <w:r>
              <w:rPr>
                <w:rFonts w:ascii="Onest;sans-serif" w:hAnsi="Onest;sans-serif"/>
                <w:color w:val="000000"/>
                <w:sz w:val="13"/>
              </w:rPr>
              <w:t xml:space="preserve">Manufacturing facility fire </w:t>
            </w:r>
            <w:r>
              <w:rPr>
                <w:rFonts w:ascii="Onest;sans-serif" w:hAnsi="Onest;sans-serif"/>
                <w:color w:val="000000"/>
                <w:sz w:val="9"/>
              </w:rPr>
              <w:t>(g)</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3.5</w:t>
            </w:r>
          </w:p>
        </w:tc>
        <w:tc>
          <w:tcPr>
            <w:tcW w:w="18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3.5</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100.0</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Onest;sans-serif" w:hAnsi="Onest;sans-serif"/>
                <w:b/>
                <w:color w:val="000000"/>
                <w:sz w:val="13"/>
              </w:rPr>
              <w:t xml:space="preserve">Operating income before charges/(gains) </w:t>
            </w:r>
            <w:r>
              <w:rPr>
                <w:rFonts w:ascii="Onest;sans-serif" w:hAnsi="Onest;sans-serif"/>
                <w:b/>
                <w:color w:val="000000"/>
                <w:sz w:val="9"/>
              </w:rPr>
              <w:t>(a)</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21.8</w:t>
            </w:r>
          </w:p>
        </w:tc>
        <w:tc>
          <w:tcPr>
            <w:tcW w:w="18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31.7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(9.9</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(31.2</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3"/>
              </w:rPr>
            </w:pPr>
            <w:r>
              <w:rPr>
                <w:rFonts w:ascii="Onest;sans-serif" w:hAnsi="Onest;sans-serif"/>
                <w:b/>
                <w:color w:val="000000"/>
                <w:sz w:val="13"/>
              </w:rPr>
              <w:t>SECURITY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3"/>
              </w:rPr>
            </w:pPr>
            <w:r>
              <w:rPr>
                <w:rFonts w:ascii="Onest;sans-serif" w:hAnsi="Onest;sans-serif"/>
                <w:b/>
                <w:color w:val="000000"/>
                <w:sz w:val="13"/>
              </w:rPr>
              <w:t>Operating income (GAAP)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21.7</w:t>
            </w:r>
          </w:p>
        </w:tc>
        <w:tc>
          <w:tcPr>
            <w:tcW w:w="18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16.0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5.7</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35.6</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Restructuring charges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0.1</w:t>
            </w:r>
          </w:p>
        </w:tc>
        <w:tc>
          <w:tcPr>
            <w:tcW w:w="18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(3.8</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(97.4</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Other charges/(gains)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Cost of products sold</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0.1</w:t>
            </w:r>
          </w:p>
        </w:tc>
        <w:tc>
          <w:tcPr>
            <w:tcW w:w="18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(3.2</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(97.0</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Selling, general and administrative expenses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(0.2</w:t>
            </w:r>
          </w:p>
        </w:tc>
        <w:tc>
          <w:tcPr>
            <w:tcW w:w="18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(0.2</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(100.0</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Onest;sans-serif" w:hAnsi="Onest;sans-serif"/>
                <w:b/>
                <w:color w:val="000000"/>
                <w:sz w:val="13"/>
              </w:rPr>
              <w:t xml:space="preserve">Operating income before charges/(gains) </w:t>
            </w:r>
            <w:r>
              <w:rPr>
                <w:rFonts w:ascii="Onest;sans-serif" w:hAnsi="Onest;sans-serif"/>
                <w:b/>
                <w:color w:val="000000"/>
                <w:sz w:val="9"/>
              </w:rPr>
              <w:t>(a)</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8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21.7</w:t>
            </w:r>
          </w:p>
        </w:tc>
        <w:tc>
          <w:tcPr>
            <w:tcW w:w="187"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3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8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23.2</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23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(1.5</w:t>
            </w:r>
          </w:p>
        </w:tc>
        <w:tc>
          <w:tcPr>
            <w:tcW w:w="16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(6.5</w:t>
            </w:r>
          </w:p>
        </w:tc>
        <w:tc>
          <w:tcPr>
            <w:tcW w:w="49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3"/>
              </w:rPr>
            </w:pPr>
            <w:r>
              <w:rPr>
                <w:rFonts w:ascii="Onest;sans-serif" w:hAnsi="Onest;sans-serif"/>
                <w:b/>
                <w:color w:val="000000"/>
                <w:sz w:val="13"/>
              </w:rPr>
              <w:t>TOTAL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3"/>
              </w:rPr>
            </w:pPr>
            <w:r>
              <w:rPr>
                <w:rFonts w:ascii="Onest;sans-serif" w:hAnsi="Onest;sans-serif"/>
                <w:b/>
                <w:color w:val="000000"/>
                <w:sz w:val="13"/>
              </w:rPr>
              <w:t>Operating income (GAAP)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60.2</w:t>
            </w:r>
          </w:p>
        </w:tc>
        <w:tc>
          <w:tcPr>
            <w:tcW w:w="18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97.0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(36.8</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(37.9</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Restructuring charges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4.3</w:t>
            </w:r>
          </w:p>
        </w:tc>
        <w:tc>
          <w:tcPr>
            <w:tcW w:w="18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24.8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(20.5</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(82.7</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Other charges/(gains)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Cost of products sold</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0.9</w:t>
            </w:r>
          </w:p>
        </w:tc>
        <w:tc>
          <w:tcPr>
            <w:tcW w:w="18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9.3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(8.4</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(90.3</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Selling, general and administrative expenses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0.8</w:t>
            </w:r>
          </w:p>
        </w:tc>
        <w:tc>
          <w:tcPr>
            <w:tcW w:w="18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4.7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(3.9</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(82.2</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3"/>
              </w:rPr>
            </w:pPr>
            <w:r>
              <w:rPr>
                <w:rFonts w:ascii="Onest;sans-serif" w:hAnsi="Onest;sans-serif"/>
                <w:color w:val="000000"/>
                <w:sz w:val="13"/>
              </w:rPr>
              <w:t xml:space="preserve">Manufacturing facility fire </w:t>
            </w:r>
            <w:r>
              <w:rPr>
                <w:rFonts w:ascii="Onest;sans-serif" w:hAnsi="Onest;sans-serif"/>
                <w:color w:val="000000"/>
                <w:sz w:val="9"/>
              </w:rPr>
              <w:t>(g)</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3.5</w:t>
            </w:r>
          </w:p>
        </w:tc>
        <w:tc>
          <w:tcPr>
            <w:tcW w:w="18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3.5</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100.0</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3"/>
              </w:rPr>
            </w:pPr>
            <w:r>
              <w:rPr>
                <w:rFonts w:ascii="Onest;sans-serif" w:hAnsi="Onest;sans-serif"/>
                <w:color w:val="000000"/>
                <w:sz w:val="13"/>
              </w:rPr>
              <w:t xml:space="preserve">Governance advisory services and leadership transitions </w:t>
            </w:r>
            <w:r>
              <w:rPr>
                <w:rFonts w:ascii="Onest;sans-serif" w:hAnsi="Onest;sans-serif"/>
                <w:color w:val="000000"/>
                <w:sz w:val="9"/>
              </w:rPr>
              <w:t>(i)</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42.4</w:t>
            </w:r>
          </w:p>
        </w:tc>
        <w:tc>
          <w:tcPr>
            <w:tcW w:w="18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42.4</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100.0</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Onest;sans-serif" w:hAnsi="Onest;sans-serif"/>
                <w:b/>
                <w:color w:val="000000"/>
                <w:sz w:val="13"/>
              </w:rPr>
              <w:t xml:space="preserve">Operating income before charges/(gains) </w:t>
            </w:r>
            <w:r>
              <w:rPr>
                <w:rFonts w:ascii="Onest;sans-serif" w:hAnsi="Onest;sans-serif"/>
                <w:b/>
                <w:color w:val="000000"/>
                <w:sz w:val="9"/>
              </w:rPr>
              <w:t>(a)</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112.1</w:t>
            </w:r>
          </w:p>
        </w:tc>
        <w:tc>
          <w:tcPr>
            <w:tcW w:w="18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135.8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(23.7</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(17.5</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r>
    </w:tbl>
    <w:p>
      <w:pPr>
        <w:pStyle w:val="TextBody"/>
        <w:bidi w:val="0"/>
        <w:jc w:val="left"/>
        <w:rPr/>
      </w:pPr>
      <w:r>
        <w:rPr/>
        <w:t> </w:t>
      </w:r>
    </w:p>
    <w:p>
      <w:pPr>
        <w:pStyle w:val="TextBody"/>
        <w:bidi w:val="0"/>
        <w:jc w:val="left"/>
        <w:rPr>
          <w:rFonts w:ascii="Onest;sans-serif" w:hAnsi="Onest;sans-serif"/>
          <w:color w:val="000000"/>
          <w:sz w:val="16"/>
        </w:rPr>
      </w:pPr>
      <w:r>
        <w:rPr>
          <w:rFonts w:ascii="Onest;sans-serif" w:hAnsi="Onest;sans-serif"/>
          <w:color w:val="000000"/>
          <w:sz w:val="16"/>
        </w:rPr>
        <w:t>(a) (g) (i) For definitions of Non-GAAP measures, see Definitions of Terms page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Onest;sans-serif" w:hAnsi="Onest;sans-serif"/>
          <w:b/>
          <w:color w:val="000000"/>
          <w:sz w:val="20"/>
        </w:rPr>
      </w:pPr>
      <w:r>
        <w:rPr>
          <w:rFonts w:ascii="Onest;sans-serif" w:hAnsi="Onest;sans-serif"/>
          <w:b/>
          <w:color w:val="000000"/>
          <w:sz w:val="20"/>
        </w:rPr>
        <w:t>FORTUNE BRANDS INNOVATIONS, INC.</w:t>
      </w:r>
    </w:p>
    <w:p>
      <w:pPr>
        <w:pStyle w:val="TextBody"/>
        <w:bidi w:val="0"/>
        <w:jc w:val="center"/>
        <w:rPr>
          <w:rFonts w:ascii="Onest;sans-serif" w:hAnsi="Onest;sans-serif"/>
          <w:b/>
          <w:color w:val="000000"/>
          <w:sz w:val="20"/>
        </w:rPr>
      </w:pPr>
      <w:r>
        <w:rPr>
          <w:rFonts w:ascii="Onest;sans-serif" w:hAnsi="Onest;sans-serif"/>
          <w:b/>
          <w:color w:val="000000"/>
          <w:sz w:val="20"/>
        </w:rPr>
        <w:t>CONDENSED CONSOLIDATED BALANCE SHEETS (GAAP)</w:t>
      </w:r>
    </w:p>
    <w:p>
      <w:pPr>
        <w:pStyle w:val="TextBody"/>
        <w:bidi w:val="0"/>
        <w:jc w:val="center"/>
        <w:rPr>
          <w:rFonts w:ascii="Onest;sans-serif" w:hAnsi="Onest;sans-serif"/>
          <w:b/>
          <w:color w:val="000000"/>
          <w:sz w:val="20"/>
        </w:rPr>
      </w:pPr>
      <w:r>
        <w:rPr>
          <w:rFonts w:ascii="Onest;sans-serif" w:hAnsi="Onest;sans-serif"/>
          <w:b/>
          <w:color w:val="000000"/>
          <w:sz w:val="20"/>
        </w:rPr>
        <w:t>(In millions)</w:t>
      </w:r>
    </w:p>
    <w:p>
      <w:pPr>
        <w:pStyle w:val="TextBody"/>
        <w:bidi w:val="0"/>
        <w:jc w:val="center"/>
        <w:rPr>
          <w:rFonts w:ascii="Onest;sans-serif" w:hAnsi="Onest;sans-serif"/>
          <w:i/>
          <w:color w:val="000000"/>
          <w:sz w:val="20"/>
        </w:rPr>
      </w:pPr>
      <w:r>
        <w:rPr>
          <w:rFonts w:ascii="Onest;sans-serif" w:hAnsi="Onest;sans-serif"/>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239"/>
        <w:gridCol w:w="349"/>
        <w:gridCol w:w="1351"/>
        <w:gridCol w:w="146"/>
        <w:gridCol w:w="146"/>
        <w:gridCol w:w="427"/>
        <w:gridCol w:w="1654"/>
        <w:gridCol w:w="893"/>
      </w:tblGrid>
      <w:tr>
        <w:trPr/>
        <w:tc>
          <w:tcPr>
            <w:tcW w:w="523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00" w:type="dxa"/>
            <w:gridSpan w:val="2"/>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center"/>
              <w:rPr>
                <w:rFonts w:ascii="Onest;sans-serif" w:hAnsi="Onest;sans-serif"/>
                <w:b/>
                <w:color w:val="000000"/>
                <w:sz w:val="20"/>
              </w:rPr>
            </w:pPr>
            <w:r>
              <w:rPr>
                <w:rFonts w:ascii="Onest;sans-serif" w:hAnsi="Onest;sans-serif"/>
                <w:b/>
                <w:color w:val="000000"/>
                <w:sz w:val="20"/>
              </w:rPr>
              <w:t>March 28, 2026</w:t>
            </w:r>
          </w:p>
        </w:tc>
        <w:tc>
          <w:tcPr>
            <w:tcW w:w="14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2081" w:type="dxa"/>
            <w:gridSpan w:val="2"/>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center"/>
              <w:rPr>
                <w:rFonts w:ascii="Onest;sans-serif" w:hAnsi="Onest;sans-serif"/>
                <w:b/>
                <w:color w:val="000000"/>
                <w:sz w:val="20"/>
              </w:rPr>
            </w:pPr>
            <w:r>
              <w:rPr>
                <w:rFonts w:ascii="Onest;sans-serif" w:hAnsi="Onest;sans-serif"/>
                <w:b/>
                <w:color w:val="000000"/>
                <w:sz w:val="20"/>
              </w:rPr>
              <w:t>December 27, 2025</w:t>
            </w:r>
          </w:p>
        </w:tc>
        <w:tc>
          <w:tcPr>
            <w:tcW w:w="893"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pPr>
            <w:r>
              <w:rPr/>
              <w:t> </w:t>
            </w:r>
          </w:p>
        </w:tc>
      </w:tr>
      <w:tr>
        <w:trPr/>
        <w:tc>
          <w:tcPr>
            <w:tcW w:w="5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39"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20"/>
              </w:rPr>
            </w:pPr>
            <w:r>
              <w:rPr>
                <w:rFonts w:ascii="Onest;sans-serif" w:hAnsi="Onest;sans-serif"/>
                <w:b/>
                <w:color w:val="000000"/>
                <w:sz w:val="20"/>
              </w:rPr>
              <w:t>Assets</w:t>
            </w:r>
          </w:p>
        </w:tc>
        <w:tc>
          <w:tcPr>
            <w:tcW w:w="17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center"/>
              <w:rPr/>
            </w:pPr>
            <w:r>
              <w:rPr/>
              <w:t> </w:t>
            </w:r>
          </w:p>
        </w:tc>
      </w:tr>
      <w:tr>
        <w:trPr/>
        <w:tc>
          <w:tcPr>
            <w:tcW w:w="5239"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20"/>
              </w:rPr>
            </w:pPr>
            <w:r>
              <w:rPr>
                <w:rFonts w:ascii="Onest;sans-serif" w:hAnsi="Onest;sans-serif"/>
                <w:color w:val="000000"/>
                <w:sz w:val="20"/>
              </w:rPr>
              <w:t>Current assets</w:t>
            </w:r>
          </w:p>
        </w:tc>
        <w:tc>
          <w:tcPr>
            <w:tcW w:w="1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Cash and cash equivalents</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20"/>
              </w:rPr>
            </w:pPr>
            <w:r>
              <w:rPr>
                <w:rFonts w:ascii="Onest;sans-serif" w:hAnsi="Onest;sans-serif"/>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223.1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20"/>
              </w:rPr>
            </w:pPr>
            <w:r>
              <w:rPr>
                <w:rFonts w:ascii="Onest;sans-serif" w:hAnsi="Onest;sans-serif"/>
                <w:color w:val="000000"/>
                <w:sz w:val="20"/>
              </w:rPr>
              <w:t>$</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264.0</w:t>
            </w:r>
          </w:p>
        </w:tc>
        <w:tc>
          <w:tcPr>
            <w:tcW w:w="89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Accounts receivable, net</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584.7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513.1</w:t>
            </w:r>
          </w:p>
        </w:tc>
        <w:tc>
          <w:tcPr>
            <w:tcW w:w="89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Inventories</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1,038.1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1,024.9</w:t>
            </w:r>
          </w:p>
        </w:tc>
        <w:tc>
          <w:tcPr>
            <w:tcW w:w="89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Other current assets</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177.8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172.2</w:t>
            </w:r>
          </w:p>
        </w:tc>
        <w:tc>
          <w:tcPr>
            <w:tcW w:w="89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700"/>
              <w:jc w:val="lef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700"/>
              <w:jc w:val="left"/>
              <w:rPr>
                <w:rFonts w:ascii="Onest;sans-serif" w:hAnsi="Onest;sans-serif"/>
                <w:b/>
                <w:color w:val="000000"/>
                <w:sz w:val="20"/>
              </w:rPr>
            </w:pPr>
            <w:r>
              <w:rPr>
                <w:rFonts w:ascii="Onest;sans-serif" w:hAnsi="Onest;sans-serif"/>
                <w:b/>
                <w:color w:val="000000"/>
                <w:sz w:val="20"/>
              </w:rPr>
              <w:t>Total current assets</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2,023.7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1,974.2</w:t>
            </w:r>
          </w:p>
        </w:tc>
        <w:tc>
          <w:tcPr>
            <w:tcW w:w="893"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2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Property, plant and equipment, net</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804.8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805.9</w:t>
            </w:r>
          </w:p>
        </w:tc>
        <w:tc>
          <w:tcPr>
            <w:tcW w:w="89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Goodwill</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2,002.7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2,006.4</w:t>
            </w:r>
          </w:p>
        </w:tc>
        <w:tc>
          <w:tcPr>
            <w:tcW w:w="89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Other intangible assets, net of accumulated amortization</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1,211.4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1,231.7</w:t>
            </w:r>
          </w:p>
        </w:tc>
        <w:tc>
          <w:tcPr>
            <w:tcW w:w="89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Assets held for sale</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104.0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113.8</w:t>
            </w:r>
          </w:p>
        </w:tc>
        <w:tc>
          <w:tcPr>
            <w:tcW w:w="89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Other assets</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399.2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388.6</w:t>
            </w:r>
          </w:p>
        </w:tc>
        <w:tc>
          <w:tcPr>
            <w:tcW w:w="89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700"/>
              <w:jc w:val="lef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700"/>
              <w:jc w:val="left"/>
              <w:rPr>
                <w:rFonts w:ascii="Onest;sans-serif" w:hAnsi="Onest;sans-serif"/>
                <w:b/>
                <w:color w:val="000000"/>
                <w:sz w:val="20"/>
              </w:rPr>
            </w:pPr>
            <w:r>
              <w:rPr>
                <w:rFonts w:ascii="Onest;sans-serif" w:hAnsi="Onest;sans-serif"/>
                <w:b/>
                <w:color w:val="000000"/>
                <w:sz w:val="20"/>
              </w:rPr>
              <w:t>Total assets</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b/>
                <w:color w:val="000000"/>
                <w:sz w:val="20"/>
              </w:rPr>
            </w:pPr>
            <w:r>
              <w:rPr>
                <w:rFonts w:ascii="Onest;sans-serif" w:hAnsi="Onest;sans-serif"/>
                <w:b/>
                <w:color w:val="000000"/>
                <w:sz w:val="20"/>
              </w:rPr>
              <w:t>$</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b/>
                <w:color w:val="000000"/>
                <w:sz w:val="20"/>
              </w:rPr>
            </w:pPr>
            <w:r>
              <w:rPr>
                <w:rFonts w:ascii="Onest;sans-serif" w:hAnsi="Onest;sans-serif"/>
                <w:b/>
                <w:color w:val="000000"/>
                <w:sz w:val="20"/>
              </w:rPr>
              <w:t>6,545.8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b/>
                <w:color w:val="000000"/>
                <w:sz w:val="20"/>
              </w:rPr>
            </w:pPr>
            <w:r>
              <w:rPr>
                <w:rFonts w:ascii="Onest;sans-serif" w:hAnsi="Onest;sans-serif"/>
                <w:b/>
                <w:color w:val="000000"/>
                <w:sz w:val="20"/>
              </w:rPr>
              <w:t>$</w:t>
            </w:r>
          </w:p>
        </w:tc>
        <w:tc>
          <w:tcPr>
            <w:tcW w:w="1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b/>
                <w:color w:val="000000"/>
                <w:sz w:val="20"/>
              </w:rPr>
            </w:pPr>
            <w:r>
              <w:rPr>
                <w:rFonts w:ascii="Onest;sans-serif" w:hAnsi="Onest;sans-serif"/>
                <w:b/>
                <w:color w:val="000000"/>
                <w:sz w:val="20"/>
              </w:rPr>
              <w:t>6,520.6</w:t>
            </w:r>
          </w:p>
        </w:tc>
        <w:tc>
          <w:tcPr>
            <w:tcW w:w="89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9"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20"/>
              </w:rPr>
            </w:pPr>
            <w:r>
              <w:rPr>
                <w:rFonts w:ascii="Onest;sans-serif" w:hAnsi="Onest;sans-serif"/>
                <w:b/>
                <w:color w:val="000000"/>
                <w:sz w:val="20"/>
              </w:rPr>
              <w:t>Liabilities and equity</w:t>
            </w:r>
          </w:p>
        </w:tc>
        <w:tc>
          <w:tcPr>
            <w:tcW w:w="17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239"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20"/>
              </w:rPr>
            </w:pPr>
            <w:r>
              <w:rPr>
                <w:rFonts w:ascii="Onest;sans-serif" w:hAnsi="Onest;sans-serif"/>
                <w:color w:val="000000"/>
                <w:sz w:val="20"/>
              </w:rPr>
              <w:t>Current liabilities</w:t>
            </w:r>
          </w:p>
        </w:tc>
        <w:tc>
          <w:tcPr>
            <w:tcW w:w="1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Accounts payable</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507.3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524.6</w:t>
            </w:r>
          </w:p>
        </w:tc>
        <w:tc>
          <w:tcPr>
            <w:tcW w:w="89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Other current liabilities</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441.7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547.0</w:t>
            </w:r>
          </w:p>
        </w:tc>
        <w:tc>
          <w:tcPr>
            <w:tcW w:w="89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700"/>
              <w:jc w:val="lef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700"/>
              <w:jc w:val="left"/>
              <w:rPr>
                <w:rFonts w:ascii="Onest;sans-serif" w:hAnsi="Onest;sans-serif"/>
                <w:b/>
                <w:color w:val="000000"/>
                <w:sz w:val="20"/>
              </w:rPr>
            </w:pPr>
            <w:r>
              <w:rPr>
                <w:rFonts w:ascii="Onest;sans-serif" w:hAnsi="Onest;sans-serif"/>
                <w:b/>
                <w:color w:val="000000"/>
                <w:sz w:val="20"/>
              </w:rPr>
              <w:t>Total current liabilities</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949.0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1,071.6</w:t>
            </w:r>
          </w:p>
        </w:tc>
        <w:tc>
          <w:tcPr>
            <w:tcW w:w="893"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2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Long-term debt</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2,713.7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2,544.9</w:t>
            </w:r>
          </w:p>
        </w:tc>
        <w:tc>
          <w:tcPr>
            <w:tcW w:w="89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Deferred income taxes</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159.2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146.9</w:t>
            </w:r>
          </w:p>
        </w:tc>
        <w:tc>
          <w:tcPr>
            <w:tcW w:w="89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Other non-current liabilities</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367.0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368.6</w:t>
            </w:r>
          </w:p>
        </w:tc>
        <w:tc>
          <w:tcPr>
            <w:tcW w:w="89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700"/>
              <w:jc w:val="lef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700"/>
              <w:jc w:val="left"/>
              <w:rPr>
                <w:rFonts w:ascii="Onest;sans-serif" w:hAnsi="Onest;sans-serif"/>
                <w:b/>
                <w:color w:val="000000"/>
                <w:sz w:val="20"/>
              </w:rPr>
            </w:pPr>
            <w:r>
              <w:rPr>
                <w:rFonts w:ascii="Onest;sans-serif" w:hAnsi="Onest;sans-serif"/>
                <w:b/>
                <w:color w:val="000000"/>
                <w:sz w:val="20"/>
              </w:rPr>
              <w:t>Total liabilities</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4,188.9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4,132.0</w:t>
            </w:r>
          </w:p>
        </w:tc>
        <w:tc>
          <w:tcPr>
            <w:tcW w:w="893"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2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Stockholders' equity</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2,356.9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2,388.6</w:t>
            </w:r>
          </w:p>
        </w:tc>
        <w:tc>
          <w:tcPr>
            <w:tcW w:w="89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700"/>
              <w:jc w:val="lef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700"/>
              <w:jc w:val="left"/>
              <w:rPr>
                <w:rFonts w:ascii="Onest;sans-serif" w:hAnsi="Onest;sans-serif"/>
                <w:b/>
                <w:color w:val="000000"/>
                <w:sz w:val="20"/>
              </w:rPr>
            </w:pPr>
            <w:r>
              <w:rPr>
                <w:rFonts w:ascii="Onest;sans-serif" w:hAnsi="Onest;sans-serif"/>
                <w:b/>
                <w:color w:val="000000"/>
                <w:sz w:val="20"/>
              </w:rPr>
              <w:t>Total equity</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2,356.9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2,388.6</w:t>
            </w:r>
          </w:p>
        </w:tc>
        <w:tc>
          <w:tcPr>
            <w:tcW w:w="89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700"/>
              <w:jc w:val="left"/>
              <w:rPr/>
            </w:pPr>
            <w:r>
              <w:rPr/>
              <w:t> </w:t>
            </w:r>
          </w:p>
        </w:tc>
      </w:tr>
      <w:tr>
        <w:trPr/>
        <w:tc>
          <w:tcPr>
            <w:tcW w:w="523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700"/>
              <w:jc w:val="left"/>
              <w:rPr>
                <w:rFonts w:ascii="Onest;sans-serif" w:hAnsi="Onest;sans-serif"/>
                <w:b/>
                <w:color w:val="000000"/>
                <w:sz w:val="20"/>
              </w:rPr>
            </w:pPr>
            <w:r>
              <w:rPr>
                <w:rFonts w:ascii="Onest;sans-serif" w:hAnsi="Onest;sans-serif"/>
                <w:b/>
                <w:color w:val="000000"/>
                <w:sz w:val="20"/>
              </w:rPr>
              <w:t>Total liabilities and equity</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b/>
                <w:color w:val="000000"/>
                <w:sz w:val="20"/>
              </w:rPr>
            </w:pPr>
            <w:r>
              <w:rPr>
                <w:rFonts w:ascii="Onest;sans-serif" w:hAnsi="Onest;sans-serif"/>
                <w:b/>
                <w:color w:val="000000"/>
                <w:sz w:val="20"/>
              </w:rPr>
              <w:t>$</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b/>
                <w:color w:val="000000"/>
                <w:sz w:val="20"/>
              </w:rPr>
            </w:pPr>
            <w:r>
              <w:rPr>
                <w:rFonts w:ascii="Onest;sans-serif" w:hAnsi="Onest;sans-serif"/>
                <w:b/>
                <w:color w:val="000000"/>
                <w:sz w:val="20"/>
              </w:rPr>
              <w:t>6,545.8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b/>
                <w:color w:val="000000"/>
                <w:sz w:val="20"/>
              </w:rPr>
            </w:pPr>
            <w:r>
              <w:rPr>
                <w:rFonts w:ascii="Onest;sans-serif" w:hAnsi="Onest;sans-serif"/>
                <w:b/>
                <w:color w:val="000000"/>
                <w:sz w:val="20"/>
              </w:rPr>
              <w:t>$</w:t>
            </w:r>
          </w:p>
        </w:tc>
        <w:tc>
          <w:tcPr>
            <w:tcW w:w="1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b/>
                <w:color w:val="000000"/>
                <w:sz w:val="20"/>
              </w:rPr>
            </w:pPr>
            <w:r>
              <w:rPr>
                <w:rFonts w:ascii="Onest;sans-serif" w:hAnsi="Onest;sans-serif"/>
                <w:b/>
                <w:color w:val="000000"/>
                <w:sz w:val="20"/>
              </w:rPr>
              <w:t>6,520.6</w:t>
            </w:r>
          </w:p>
        </w:tc>
        <w:tc>
          <w:tcPr>
            <w:tcW w:w="89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Onest;sans-serif" w:hAnsi="Onest;sans-serif"/>
          <w:b/>
          <w:color w:val="000000"/>
          <w:sz w:val="20"/>
        </w:rPr>
      </w:pPr>
      <w:r>
        <w:rPr>
          <w:rFonts w:ascii="Onest;sans-serif" w:hAnsi="Onest;sans-serif"/>
          <w:b/>
          <w:color w:val="000000"/>
          <w:sz w:val="20"/>
        </w:rPr>
        <w:t>FORTUNE BRANDS INNOVATIONS, INC.</w:t>
      </w:r>
    </w:p>
    <w:p>
      <w:pPr>
        <w:pStyle w:val="TextBody"/>
        <w:bidi w:val="0"/>
        <w:jc w:val="center"/>
        <w:rPr>
          <w:rFonts w:ascii="Onest;sans-serif" w:hAnsi="Onest;sans-serif"/>
          <w:b/>
          <w:color w:val="000000"/>
          <w:sz w:val="20"/>
        </w:rPr>
      </w:pPr>
      <w:r>
        <w:rPr>
          <w:rFonts w:ascii="Onest;sans-serif" w:hAnsi="Onest;sans-serif"/>
          <w:b/>
          <w:color w:val="000000"/>
          <w:sz w:val="20"/>
        </w:rPr>
        <w:t>CONDENSED CONSOLIDATED STATEMENTS OF CASH FLOWS</w:t>
      </w:r>
    </w:p>
    <w:p>
      <w:pPr>
        <w:pStyle w:val="TextBody"/>
        <w:bidi w:val="0"/>
        <w:jc w:val="center"/>
        <w:rPr>
          <w:rFonts w:ascii="Onest;sans-serif" w:hAnsi="Onest;sans-serif"/>
          <w:b/>
          <w:color w:val="000000"/>
          <w:sz w:val="20"/>
        </w:rPr>
      </w:pPr>
      <w:r>
        <w:rPr>
          <w:rFonts w:ascii="Onest;sans-serif" w:hAnsi="Onest;sans-serif"/>
          <w:b/>
          <w:color w:val="000000"/>
          <w:sz w:val="20"/>
        </w:rPr>
        <w:t>(In millions)</w:t>
      </w:r>
    </w:p>
    <w:p>
      <w:pPr>
        <w:pStyle w:val="TextBody"/>
        <w:bidi w:val="0"/>
        <w:jc w:val="center"/>
        <w:rPr>
          <w:rFonts w:ascii="Onest;sans-serif" w:hAnsi="Onest;sans-serif"/>
          <w:i/>
          <w:color w:val="000000"/>
          <w:sz w:val="20"/>
        </w:rPr>
      </w:pPr>
      <w:r>
        <w:rPr>
          <w:rFonts w:ascii="Onest;sans-serif" w:hAnsi="Onest;sans-serif"/>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983"/>
        <w:gridCol w:w="146"/>
        <w:gridCol w:w="399"/>
        <w:gridCol w:w="1275"/>
        <w:gridCol w:w="219"/>
        <w:gridCol w:w="399"/>
        <w:gridCol w:w="1275"/>
        <w:gridCol w:w="509"/>
      </w:tblGrid>
      <w:tr>
        <w:trPr/>
        <w:tc>
          <w:tcPr>
            <w:tcW w:w="5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567" w:type="dxa"/>
            <w:gridSpan w:val="5"/>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center"/>
              <w:rPr>
                <w:rFonts w:ascii="Onest;sans-serif" w:hAnsi="Onest;sans-serif"/>
                <w:b/>
                <w:color w:val="000000"/>
                <w:sz w:val="19"/>
              </w:rPr>
            </w:pPr>
            <w:r>
              <w:rPr>
                <w:rFonts w:ascii="Onest;sans-serif" w:hAnsi="Onest;sans-serif"/>
                <w:b/>
                <w:color w:val="000000"/>
                <w:sz w:val="19"/>
              </w:rPr>
              <w:t>Thirteen Weeks Period</w:t>
            </w:r>
          </w:p>
        </w:tc>
        <w:tc>
          <w:tcPr>
            <w:tcW w:w="509"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pPr>
            <w:r>
              <w:rPr/>
              <w:t> </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9"/>
              </w:rPr>
            </w:pPr>
            <w:r>
              <w:rPr>
                <w:rFonts w:ascii="Onest;sans-serif" w:hAnsi="Onest;sans-serif"/>
                <w:b/>
                <w:color w:val="000000"/>
                <w:sz w:val="19"/>
              </w:rPr>
              <w:t>March 28, 2026</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9"/>
              </w:rPr>
            </w:pPr>
            <w:r>
              <w:rPr>
                <w:rFonts w:ascii="Onest;sans-serif" w:hAnsi="Onest;sans-serif"/>
                <w:b/>
                <w:color w:val="000000"/>
                <w:sz w:val="19"/>
              </w:rPr>
              <w:t>March 29, 2025</w:t>
            </w:r>
          </w:p>
        </w:tc>
        <w:tc>
          <w:tcPr>
            <w:tcW w:w="50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9"/>
              </w:rPr>
            </w:pPr>
            <w:r>
              <w:rPr>
                <w:rFonts w:ascii="Onest;sans-serif" w:hAnsi="Onest;sans-serif"/>
                <w:b/>
                <w:color w:val="000000"/>
                <w:sz w:val="19"/>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9"/>
              </w:rPr>
            </w:pPr>
            <w:r>
              <w:rPr>
                <w:rFonts w:ascii="Onest;sans-serif" w:hAnsi="Onest;sans-serif"/>
                <w:color w:val="000000"/>
                <w:sz w:val="19"/>
              </w:rPr>
              <w:t>Net income</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24.2</w:t>
            </w:r>
          </w:p>
        </w:tc>
        <w:tc>
          <w:tcPr>
            <w:tcW w:w="21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51.4</w:t>
            </w:r>
          </w:p>
        </w:tc>
        <w:tc>
          <w:tcPr>
            <w:tcW w:w="50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9"/>
              </w:rPr>
            </w:pPr>
            <w:r>
              <w:rPr>
                <w:rFonts w:ascii="Onest;sans-serif" w:hAnsi="Onest;sans-serif"/>
                <w:color w:val="000000"/>
                <w:sz w:val="19"/>
              </w:rPr>
              <w:t>Depreciation and amortization</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42.1</w:t>
            </w:r>
          </w:p>
        </w:tc>
        <w:tc>
          <w:tcPr>
            <w:tcW w:w="21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51.3</w:t>
            </w:r>
          </w:p>
        </w:tc>
        <w:tc>
          <w:tcPr>
            <w:tcW w:w="50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9"/>
              </w:rPr>
            </w:pPr>
            <w:r>
              <w:rPr>
                <w:rFonts w:ascii="Onest;sans-serif" w:hAnsi="Onest;sans-serif"/>
                <w:color w:val="000000"/>
                <w:sz w:val="19"/>
              </w:rPr>
              <w:t>Non-cash lease expense</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9.9</w:t>
            </w:r>
          </w:p>
        </w:tc>
        <w:tc>
          <w:tcPr>
            <w:tcW w:w="21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9.4</w:t>
            </w:r>
          </w:p>
        </w:tc>
        <w:tc>
          <w:tcPr>
            <w:tcW w:w="50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9"/>
              </w:rPr>
            </w:pPr>
            <w:r>
              <w:rPr>
                <w:rFonts w:ascii="Onest;sans-serif" w:hAnsi="Onest;sans-serif"/>
                <w:color w:val="000000"/>
                <w:sz w:val="19"/>
              </w:rPr>
              <w:t>Deferred taxes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11.9</w:t>
            </w:r>
          </w:p>
        </w:tc>
        <w:tc>
          <w:tcPr>
            <w:tcW w:w="21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1.7</w:t>
            </w:r>
          </w:p>
        </w:tc>
        <w:tc>
          <w:tcPr>
            <w:tcW w:w="50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9"/>
              </w:rPr>
            </w:pPr>
            <w:r>
              <w:rPr>
                <w:rFonts w:ascii="Onest;sans-serif" w:hAnsi="Onest;sans-serif"/>
                <w:color w:val="000000"/>
                <w:sz w:val="19"/>
              </w:rPr>
              <w:t>Other non-cash items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0.2</w:t>
            </w:r>
          </w:p>
        </w:tc>
        <w:tc>
          <w:tcPr>
            <w:tcW w:w="21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8.3</w:t>
            </w:r>
          </w:p>
        </w:tc>
        <w:tc>
          <w:tcPr>
            <w:tcW w:w="50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9"/>
              </w:rPr>
            </w:pPr>
            <w:r>
              <w:rPr>
                <w:rFonts w:ascii="Onest;sans-serif" w:hAnsi="Onest;sans-serif"/>
                <w:color w:val="000000"/>
                <w:sz w:val="19"/>
              </w:rPr>
              <w:t>Changes in assets and liabilities, net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(207.5</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(205.5</w:t>
            </w:r>
          </w:p>
        </w:tc>
        <w:tc>
          <w:tcPr>
            <w:tcW w:w="50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9"/>
              </w:rPr>
            </w:pPr>
            <w:r>
              <w:rPr>
                <w:rFonts w:ascii="Onest;sans-serif" w:hAnsi="Onest;sans-serif"/>
                <w:b/>
                <w:color w:val="000000"/>
                <w:sz w:val="19"/>
              </w:rPr>
              <w:t>Net cash used in operating activities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(119.2</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(83.4</w:t>
            </w:r>
          </w:p>
        </w:tc>
        <w:tc>
          <w:tcPr>
            <w:tcW w:w="50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9"/>
              </w:rPr>
            </w:pPr>
            <w:r>
              <w:rPr>
                <w:rFonts w:ascii="Onest;sans-serif" w:hAnsi="Onest;sans-serif"/>
                <w:b/>
                <w:color w:val="000000"/>
                <w:sz w:val="19"/>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right"/>
              <w:rPr/>
            </w:pPr>
            <w:r>
              <w:rPr/>
              <w:t> </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9"/>
              </w:rPr>
            </w:pPr>
            <w:r>
              <w:rPr>
                <w:rFonts w:ascii="Onest;sans-serif" w:hAnsi="Onest;sans-serif"/>
                <w:color w:val="000000"/>
                <w:sz w:val="19"/>
              </w:rPr>
              <w:t>Capital expenditures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(20.3</w:t>
            </w:r>
          </w:p>
        </w:tc>
        <w:tc>
          <w:tcPr>
            <w:tcW w:w="21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(29.2</w:t>
            </w:r>
          </w:p>
        </w:tc>
        <w:tc>
          <w:tcPr>
            <w:tcW w:w="50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9"/>
              </w:rPr>
            </w:pPr>
            <w:r>
              <w:rPr>
                <w:rFonts w:ascii="Onest;sans-serif" w:hAnsi="Onest;sans-serif"/>
                <w:color w:val="000000"/>
                <w:sz w:val="19"/>
              </w:rPr>
              <w:t>)</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9"/>
              </w:rPr>
            </w:pPr>
            <w:r>
              <w:rPr>
                <w:rFonts w:ascii="Onest;sans-serif" w:hAnsi="Onest;sans-serif"/>
                <w:color w:val="000000"/>
                <w:sz w:val="19"/>
              </w:rPr>
              <w:t>Proceeds from the disposition of assets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9.8</w:t>
            </w:r>
          </w:p>
        </w:tc>
        <w:tc>
          <w:tcPr>
            <w:tcW w:w="21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w:t>
            </w:r>
          </w:p>
        </w:tc>
        <w:tc>
          <w:tcPr>
            <w:tcW w:w="50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9"/>
              </w:rPr>
            </w:pPr>
            <w:r>
              <w:rPr>
                <w:rFonts w:ascii="Onest;sans-serif" w:hAnsi="Onest;sans-serif"/>
                <w:b/>
                <w:color w:val="000000"/>
                <w:sz w:val="19"/>
              </w:rPr>
              <w:t>Net cash used in investing activities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2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(10.5</w:t>
            </w:r>
          </w:p>
        </w:tc>
        <w:tc>
          <w:tcPr>
            <w:tcW w:w="219"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39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2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(29.2</w:t>
            </w:r>
          </w:p>
        </w:tc>
        <w:tc>
          <w:tcPr>
            <w:tcW w:w="509"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9"/>
              </w:rPr>
            </w:pPr>
            <w:r>
              <w:rPr>
                <w:rFonts w:ascii="Onest;sans-serif" w:hAnsi="Onest;sans-serif"/>
                <w:b/>
                <w:color w:val="000000"/>
                <w:sz w:val="19"/>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9"/>
              </w:rPr>
            </w:pPr>
            <w:r>
              <w:rPr>
                <w:rFonts w:ascii="Onest;sans-serif" w:hAnsi="Onest;sans-serif"/>
                <w:color w:val="000000"/>
                <w:sz w:val="19"/>
              </w:rPr>
              <w:t>Increase in debt, net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168.3</w:t>
            </w:r>
          </w:p>
        </w:tc>
        <w:tc>
          <w:tcPr>
            <w:tcW w:w="21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280.0</w:t>
            </w:r>
          </w:p>
        </w:tc>
        <w:tc>
          <w:tcPr>
            <w:tcW w:w="50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9"/>
              </w:rPr>
            </w:pPr>
            <w:r>
              <w:rPr>
                <w:rFonts w:ascii="Onest;sans-serif" w:hAnsi="Onest;sans-serif"/>
                <w:color w:val="000000"/>
                <w:sz w:val="19"/>
              </w:rPr>
              <w:t>Proceeds from the exercise of stock options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4.5</w:t>
            </w:r>
          </w:p>
        </w:tc>
        <w:tc>
          <w:tcPr>
            <w:tcW w:w="21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0.6</w:t>
            </w:r>
          </w:p>
        </w:tc>
        <w:tc>
          <w:tcPr>
            <w:tcW w:w="50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9"/>
              </w:rPr>
            </w:pPr>
            <w:r>
              <w:rPr>
                <w:rFonts w:ascii="Onest;sans-serif" w:hAnsi="Onest;sans-serif"/>
                <w:color w:val="000000"/>
                <w:sz w:val="19"/>
              </w:rPr>
              <w:t>Treasury stock purchases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(43.5</w:t>
            </w:r>
          </w:p>
        </w:tc>
        <w:tc>
          <w:tcPr>
            <w:tcW w:w="21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(175.0</w:t>
            </w:r>
          </w:p>
        </w:tc>
        <w:tc>
          <w:tcPr>
            <w:tcW w:w="50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9"/>
              </w:rPr>
            </w:pPr>
            <w:r>
              <w:rPr>
                <w:rFonts w:ascii="Onest;sans-serif" w:hAnsi="Onest;sans-serif"/>
                <w:color w:val="000000"/>
                <w:sz w:val="19"/>
              </w:rPr>
              <w:t>)</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9"/>
              </w:rPr>
            </w:pPr>
            <w:r>
              <w:rPr>
                <w:rFonts w:ascii="Onest;sans-serif" w:hAnsi="Onest;sans-serif"/>
                <w:color w:val="000000"/>
                <w:sz w:val="19"/>
              </w:rPr>
              <w:t>Dividends to stockholders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(31.2</w:t>
            </w:r>
          </w:p>
        </w:tc>
        <w:tc>
          <w:tcPr>
            <w:tcW w:w="21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(30.5</w:t>
            </w:r>
          </w:p>
        </w:tc>
        <w:tc>
          <w:tcPr>
            <w:tcW w:w="509"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9"/>
              </w:rPr>
            </w:pPr>
            <w:r>
              <w:rPr>
                <w:rFonts w:ascii="Onest;sans-serif" w:hAnsi="Onest;sans-serif"/>
                <w:color w:val="000000"/>
                <w:sz w:val="19"/>
              </w:rPr>
              <w:t>)</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9"/>
              </w:rPr>
            </w:pPr>
            <w:r>
              <w:rPr>
                <w:rFonts w:ascii="Onest;sans-serif" w:hAnsi="Onest;sans-serif"/>
                <w:color w:val="000000"/>
                <w:sz w:val="19"/>
              </w:rPr>
              <w:t>Other items, net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(7.7</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(7.1</w:t>
            </w:r>
          </w:p>
        </w:tc>
        <w:tc>
          <w:tcPr>
            <w:tcW w:w="50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9"/>
              </w:rPr>
            </w:pPr>
            <w:r>
              <w:rPr>
                <w:rFonts w:ascii="Onest;sans-serif" w:hAnsi="Onest;sans-serif"/>
                <w:b/>
                <w:color w:val="000000"/>
                <w:sz w:val="19"/>
              </w:rPr>
              <w:t>Net cash provided by financing activities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90.4</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68.0</w:t>
            </w:r>
          </w:p>
        </w:tc>
        <w:tc>
          <w:tcPr>
            <w:tcW w:w="50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80"/>
              <w:jc w:val="left"/>
              <w:rPr/>
            </w:pPr>
            <w:r>
              <w:rPr/>
              <w:t> </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Effect of foreign exchange rate changes on cash</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(1.7</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3.0</w:t>
            </w:r>
          </w:p>
        </w:tc>
        <w:tc>
          <w:tcPr>
            <w:tcW w:w="50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Net decrease in cash and cash equivalents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(41.0</w:t>
            </w:r>
          </w:p>
        </w:tc>
        <w:tc>
          <w:tcPr>
            <w:tcW w:w="21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(41.6</w:t>
            </w:r>
          </w:p>
        </w:tc>
        <w:tc>
          <w:tcPr>
            <w:tcW w:w="50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Cash, cash equivalents and restricted cash* at beginning of period</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267.5</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385.5</w:t>
            </w:r>
          </w:p>
        </w:tc>
        <w:tc>
          <w:tcPr>
            <w:tcW w:w="50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983"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9"/>
              </w:rPr>
            </w:pPr>
            <w:r>
              <w:rPr>
                <w:rFonts w:ascii="Onest;sans-serif" w:hAnsi="Onest;sans-serif"/>
                <w:b/>
                <w:color w:val="000000"/>
                <w:sz w:val="19"/>
              </w:rPr>
              <w:t>Cash, cash equivalents and restricted cash* at end of period</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226.5</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343.9</w:t>
            </w:r>
          </w:p>
        </w:tc>
        <w:tc>
          <w:tcPr>
            <w:tcW w:w="50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931" w:type="dxa"/>
        <w:jc w:val="left"/>
        <w:tblInd w:w="0" w:type="dxa"/>
        <w:tblLayout w:type="fixed"/>
        <w:tblCellMar>
          <w:top w:w="28" w:type="dxa"/>
          <w:left w:w="28" w:type="dxa"/>
          <w:bottom w:w="28" w:type="dxa"/>
          <w:right w:w="28" w:type="dxa"/>
        </w:tblCellMar>
      </w:tblPr>
      <w:tblGrid>
        <w:gridCol w:w="3916"/>
        <w:gridCol w:w="146"/>
        <w:gridCol w:w="433"/>
        <w:gridCol w:w="1382"/>
        <w:gridCol w:w="227"/>
        <w:gridCol w:w="433"/>
        <w:gridCol w:w="1382"/>
        <w:gridCol w:w="286"/>
        <w:gridCol w:w="172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9"/>
                <w:u w:val="single"/>
              </w:rPr>
            </w:pPr>
            <w:r>
              <w:rPr>
                <w:rFonts w:ascii="Onest;sans-serif" w:hAnsi="Onest;sans-serif"/>
                <w:b/>
                <w:color w:val="000000"/>
                <w:sz w:val="19"/>
                <w:u w:val="single"/>
              </w:rPr>
              <w:t>FREE CASH FLOW</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857" w:type="dxa"/>
            <w:gridSpan w:val="5"/>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center"/>
              <w:rPr>
                <w:rFonts w:ascii="Onest;sans-serif" w:hAnsi="Onest;sans-serif"/>
                <w:b/>
                <w:color w:val="000000"/>
                <w:sz w:val="19"/>
              </w:rPr>
            </w:pPr>
            <w:r>
              <w:rPr>
                <w:rFonts w:ascii="Onest;sans-serif" w:hAnsi="Onest;sans-serif"/>
                <w:b/>
                <w:color w:val="000000"/>
                <w:sz w:val="19"/>
              </w:rPr>
              <w:t>Thirteen Weeks Period</w:t>
            </w:r>
          </w:p>
        </w:tc>
        <w:tc>
          <w:tcPr>
            <w:tcW w:w="28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pPr>
            <w:r>
              <w:rPr/>
              <w:t> </w:t>
            </w:r>
          </w:p>
        </w:tc>
        <w:tc>
          <w:tcPr>
            <w:tcW w:w="172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rFonts w:ascii="Onest;sans-serif" w:hAnsi="Onest;sans-serif"/>
                <w:b/>
                <w:color w:val="000000"/>
                <w:sz w:val="19"/>
              </w:rPr>
            </w:pPr>
            <w:r>
              <w:rPr>
                <w:rFonts w:ascii="Onest;sans-serif" w:hAnsi="Onest;sans-serif"/>
                <w:b/>
                <w:color w:val="000000"/>
                <w:sz w:val="19"/>
              </w:rPr>
              <w:t>2026 Full Year</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9"/>
              </w:rPr>
            </w:pPr>
            <w:r>
              <w:rPr>
                <w:rFonts w:ascii="Onest;sans-serif" w:hAnsi="Onest;sans-serif"/>
                <w:b/>
                <w:color w:val="000000"/>
                <w:sz w:val="19"/>
              </w:rPr>
              <w:t>March 28, 2026</w:t>
            </w:r>
          </w:p>
        </w:tc>
        <w:tc>
          <w:tcPr>
            <w:tcW w:w="22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9"/>
              </w:rPr>
            </w:pPr>
            <w:r>
              <w:rPr>
                <w:rFonts w:ascii="Onest;sans-serif" w:hAnsi="Onest;sans-serif"/>
                <w:b/>
                <w:color w:val="000000"/>
                <w:sz w:val="19"/>
              </w:rPr>
              <w:t>March 29, 2025</w:t>
            </w:r>
          </w:p>
        </w:tc>
        <w:tc>
          <w:tcPr>
            <w:tcW w:w="2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7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9"/>
              </w:rPr>
            </w:pPr>
            <w:r>
              <w:rPr>
                <w:rFonts w:ascii="Onest;sans-serif" w:hAnsi="Onest;sans-serif"/>
                <w:b/>
                <w:color w:val="000000"/>
                <w:sz w:val="19"/>
              </w:rPr>
              <w:t>Estimate</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9"/>
              </w:rPr>
            </w:pPr>
            <w:r>
              <w:rPr>
                <w:rFonts w:ascii="Onest;sans-serif" w:hAnsi="Onest;sans-serif"/>
                <w:b/>
                <w:color w:val="000000"/>
                <w:sz w:val="19"/>
              </w:rPr>
              <w:t>Cash flow from operations (GAAP)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(119.2</w:t>
            </w:r>
          </w:p>
        </w:tc>
        <w:tc>
          <w:tcPr>
            <w:tcW w:w="22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(83.4</w:t>
            </w:r>
          </w:p>
        </w:tc>
        <w:tc>
          <w:tcPr>
            <w:tcW w:w="2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7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$500 to $535</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Onest;sans-serif" w:hAnsi="Onest;sans-serif"/>
                <w:color w:val="000000"/>
                <w:sz w:val="19"/>
              </w:rPr>
              <w:t>Less: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left"/>
              <w:rPr/>
            </w:pPr>
            <w:r>
              <w:rPr/>
              <w:t> </w:t>
            </w:r>
          </w:p>
        </w:tc>
        <w:tc>
          <w:tcPr>
            <w:tcW w:w="172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Onest;sans-serif" w:hAnsi="Onest;sans-serif"/>
                <w:color w:val="000000"/>
                <w:sz w:val="19"/>
              </w:rPr>
              <w:t>Capital expenditures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20.3</w:t>
            </w:r>
          </w:p>
        </w:tc>
        <w:tc>
          <w:tcPr>
            <w:tcW w:w="22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29.2</w:t>
            </w:r>
          </w:p>
        </w:tc>
        <w:tc>
          <w:tcPr>
            <w:tcW w:w="2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$110 to $125</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Onest;sans-serif" w:hAnsi="Onest;sans-serif"/>
                <w:b/>
                <w:color w:val="000000"/>
                <w:sz w:val="19"/>
              </w:rPr>
              <w:t xml:space="preserve">Free cash flow </w:t>
            </w:r>
            <w:r>
              <w:rPr>
                <w:rFonts w:ascii="Onest;sans-serif" w:hAnsi="Onest;sans-serif"/>
                <w:b/>
                <w:color w:val="000000"/>
                <w:sz w:val="13"/>
              </w:rPr>
              <w:t>(b)</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(139.5</w:t>
            </w:r>
          </w:p>
        </w:tc>
        <w:tc>
          <w:tcPr>
            <w:tcW w:w="22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(112.6</w:t>
            </w:r>
          </w:p>
        </w:tc>
        <w:tc>
          <w:tcPr>
            <w:tcW w:w="2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9"/>
              </w:rPr>
            </w:pPr>
            <w:r>
              <w:rPr>
                <w:rFonts w:ascii="Onest;sans-serif" w:hAnsi="Onest;sans-serif"/>
                <w:color w:val="000000"/>
                <w:sz w:val="19"/>
              </w:rPr>
              <w:t>)</w:t>
            </w:r>
          </w:p>
        </w:tc>
        <w:tc>
          <w:tcPr>
            <w:tcW w:w="17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Onest;sans-serif" w:hAnsi="Onest;sans-serif"/>
                <w:color w:val="000000"/>
                <w:sz w:val="19"/>
              </w:rPr>
            </w:pPr>
            <w:r>
              <w:rPr>
                <w:rFonts w:ascii="Onest;sans-serif" w:hAnsi="Onest;sans-serif"/>
                <w:color w:val="000000"/>
                <w:sz w:val="19"/>
              </w:rPr>
              <w:t>$375 to $425</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Onest;sans-serif" w:hAnsi="Onest;sans-serif"/>
          <w:color w:val="000000"/>
          <w:sz w:val="16"/>
        </w:rPr>
      </w:pPr>
      <w:r>
        <w:rPr>
          <w:rFonts w:ascii="Onest;sans-serif" w:hAnsi="Onest;sans-serif"/>
          <w:color w:val="000000"/>
          <w:sz w:val="16"/>
        </w:rPr>
        <w:t>* Restricted cash of $1.4 million and $2.0 million is included in Other current assets and Other assets, respectively, as of March 28, 2026, and $1.3 million and $2.6 million is included in Other current assets and Other assets, respectively, as of March 29, 2025.</w:t>
      </w:r>
    </w:p>
    <w:p>
      <w:pPr>
        <w:pStyle w:val="TextBody"/>
        <w:bidi w:val="0"/>
        <w:jc w:val="left"/>
        <w:rPr/>
      </w:pPr>
      <w:r>
        <w:rPr/>
        <w:t> </w:t>
      </w:r>
    </w:p>
    <w:p>
      <w:pPr>
        <w:pStyle w:val="TextBody"/>
        <w:bidi w:val="0"/>
        <w:jc w:val="left"/>
        <w:rPr>
          <w:rFonts w:ascii="Onest;sans-serif" w:hAnsi="Onest;sans-serif"/>
          <w:color w:val="000000"/>
          <w:sz w:val="16"/>
        </w:rPr>
      </w:pPr>
      <w:r>
        <w:rPr>
          <w:rFonts w:ascii="Onest;sans-serif" w:hAnsi="Onest;sans-serif"/>
          <w:color w:val="000000"/>
          <w:sz w:val="16"/>
        </w:rPr>
        <w:t>(b) For definitions of Non-GAAP measures, see Definitions of Terms page</w:t>
      </w:r>
    </w:p>
    <w:p>
      <w:pPr>
        <w:pStyle w:val="HorizontalLine"/>
        <w:pBdr>
          <w:bottom w:val="double" w:sz="2" w:space="0" w:color="808080"/>
        </w:pBdr>
        <w:bidi w:val="0"/>
        <w:spacing w:before="0" w:after="283"/>
        <w:jc w:val="left"/>
        <w:rPr/>
      </w:pPr>
      <w:r>
        <w:rPr/>
      </w:r>
    </w:p>
    <w:p>
      <w:pPr>
        <w:pStyle w:val="TextBody"/>
        <w:bidi w:val="0"/>
        <w:jc w:val="center"/>
        <w:rPr>
          <w:rFonts w:ascii="Onest;sans-serif" w:hAnsi="Onest;sans-serif"/>
          <w:b/>
          <w:color w:val="000000"/>
          <w:sz w:val="20"/>
        </w:rPr>
      </w:pPr>
      <w:r>
        <w:rPr>
          <w:rFonts w:ascii="Onest;sans-serif" w:hAnsi="Onest;sans-serif"/>
          <w:b/>
          <w:color w:val="000000"/>
          <w:sz w:val="20"/>
        </w:rPr>
        <w:t>FORTUNE BRANDS INNOVATIONS, INC.</w:t>
      </w:r>
    </w:p>
    <w:p>
      <w:pPr>
        <w:pStyle w:val="TextBody"/>
        <w:bidi w:val="0"/>
        <w:jc w:val="center"/>
        <w:rPr>
          <w:rFonts w:ascii="Onest;sans-serif" w:hAnsi="Onest;sans-serif"/>
          <w:b/>
          <w:color w:val="000000"/>
          <w:sz w:val="20"/>
        </w:rPr>
      </w:pPr>
      <w:r>
        <w:rPr>
          <w:rFonts w:ascii="Onest;sans-serif" w:hAnsi="Onest;sans-serif"/>
          <w:b/>
          <w:color w:val="000000"/>
          <w:sz w:val="20"/>
        </w:rPr>
        <w:t>CONDENSED CONSOLIDATED STATEMENTS OF INCOME (GAAP)</w:t>
      </w:r>
    </w:p>
    <w:p>
      <w:pPr>
        <w:pStyle w:val="TextBody"/>
        <w:bidi w:val="0"/>
        <w:jc w:val="center"/>
        <w:rPr>
          <w:rFonts w:ascii="Onest;sans-serif" w:hAnsi="Onest;sans-serif"/>
          <w:b/>
          <w:color w:val="000000"/>
          <w:sz w:val="20"/>
        </w:rPr>
      </w:pPr>
      <w:r>
        <w:rPr>
          <w:rFonts w:ascii="Onest;sans-serif" w:hAnsi="Onest;sans-serif"/>
          <w:b/>
          <w:color w:val="000000"/>
          <w:sz w:val="20"/>
        </w:rPr>
        <w:t>(In millions, except per share amounts)</w:t>
      </w:r>
    </w:p>
    <w:p>
      <w:pPr>
        <w:pStyle w:val="TextBody"/>
        <w:bidi w:val="0"/>
        <w:jc w:val="center"/>
        <w:rPr>
          <w:rFonts w:ascii="Onest;sans-serif" w:hAnsi="Onest;sans-serif"/>
          <w:i/>
          <w:color w:val="000000"/>
          <w:sz w:val="20"/>
        </w:rPr>
      </w:pPr>
      <w:r>
        <w:rPr>
          <w:rFonts w:ascii="Onest;sans-serif" w:hAnsi="Onest;sans-serif"/>
          <w:i/>
          <w:color w:val="000000"/>
          <w:sz w:val="20"/>
        </w:rPr>
        <w:t>(Unaudited)</w:t>
      </w:r>
    </w:p>
    <w:p>
      <w:pPr>
        <w:pStyle w:val="TextBody"/>
        <w:bidi w:val="0"/>
        <w:jc w:val="center"/>
        <w:rPr/>
      </w:pPr>
      <w:r>
        <w:rPr/>
        <w:t> </w:t>
      </w:r>
    </w:p>
    <w:tbl>
      <w:tblPr>
        <w:tblW w:w="9040" w:type="dxa"/>
        <w:jc w:val="left"/>
        <w:tblInd w:w="0" w:type="dxa"/>
        <w:tblLayout w:type="fixed"/>
        <w:tblCellMar>
          <w:top w:w="28" w:type="dxa"/>
          <w:left w:w="28" w:type="dxa"/>
          <w:bottom w:w="28" w:type="dxa"/>
          <w:right w:w="28" w:type="dxa"/>
        </w:tblCellMar>
      </w:tblPr>
      <w:tblGrid>
        <w:gridCol w:w="4051"/>
        <w:gridCol w:w="327"/>
        <w:gridCol w:w="1083"/>
        <w:gridCol w:w="181"/>
        <w:gridCol w:w="327"/>
        <w:gridCol w:w="1083"/>
        <w:gridCol w:w="166"/>
        <w:gridCol w:w="216"/>
        <w:gridCol w:w="715"/>
        <w:gridCol w:w="891"/>
      </w:tblGrid>
      <w:tr>
        <w:trPr/>
        <w:tc>
          <w:tcPr>
            <w:tcW w:w="405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01" w:type="dxa"/>
            <w:gridSpan w:val="5"/>
            <w:tcBorders>
              <w:top w:val="single" w:sz="4" w:space="0" w:color="000000"/>
              <w:bottom w:val="single" w:sz="4" w:space="0" w:color="000000"/>
            </w:tcBorders>
            <w:shd w:fill="D3D3D3" w:val="clear"/>
            <w:tcMar>
              <w:left w:w="0" w:type="dxa"/>
              <w:righ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Thirteen Weeks Period</w:t>
            </w:r>
          </w:p>
        </w:tc>
        <w:tc>
          <w:tcPr>
            <w:tcW w:w="166" w:type="dxa"/>
            <w:tcBorders>
              <w:top w:val="single" w:sz="4" w:space="0" w:color="000000"/>
              <w:bottom w:val="single" w:sz="4" w:space="0" w:color="000000"/>
              <w:right w:val="single" w:sz="4" w:space="0" w:color="000000"/>
            </w:tcBorders>
            <w:shd w:fill="D3D3D3" w:val="clear"/>
            <w:tcMar>
              <w:left w:w="0" w:type="dxa"/>
            </w:tcMar>
            <w:vAlign w:val="center"/>
          </w:tcPr>
          <w:p>
            <w:pPr>
              <w:pStyle w:val="TableContents"/>
              <w:bidi w:val="0"/>
              <w:spacing w:before="0" w:after="283"/>
              <w:jc w:val="center"/>
              <w:rPr/>
            </w:pPr>
            <w:r>
              <w:rPr/>
              <w:t> </w:t>
            </w:r>
          </w:p>
        </w:tc>
        <w:tc>
          <w:tcPr>
            <w:tcW w:w="931" w:type="dxa"/>
            <w:gridSpan w:val="2"/>
            <w:tcBorders>
              <w:top w:val="single" w:sz="4" w:space="0" w:color="000000"/>
              <w:bottom w:val="single" w:sz="4" w:space="0" w:color="000000"/>
            </w:tcBorders>
            <w:shd w:fill="D3D3D3" w:val="clear"/>
            <w:tcMar>
              <w:left w:w="0" w:type="dxa"/>
              <w:right w:w="0" w:type="dxa"/>
            </w:tcMar>
            <w:vAlign w:val="center"/>
          </w:tcPr>
          <w:p>
            <w:pPr>
              <w:pStyle w:val="TableContents"/>
              <w:bidi w:val="0"/>
              <w:spacing w:before="0" w:after="283"/>
              <w:jc w:val="left"/>
              <w:rPr/>
            </w:pPr>
            <w:r>
              <w:rPr/>
              <w:t> </w:t>
            </w:r>
          </w:p>
        </w:tc>
        <w:tc>
          <w:tcPr>
            <w:tcW w:w="891" w:type="dxa"/>
            <w:tcBorders>
              <w:top w:val="single" w:sz="4" w:space="0" w:color="000000"/>
              <w:bottom w:val="single" w:sz="4" w:space="0" w:color="000000"/>
              <w:right w:val="single" w:sz="4" w:space="0" w:color="000000"/>
            </w:tcBorders>
            <w:shd w:fill="D3D3D3" w:val="clear"/>
            <w:tcMar>
              <w:left w:w="0" w:type="dxa"/>
            </w:tcMar>
            <w:vAlign w:val="center"/>
          </w:tcPr>
          <w:p>
            <w:pPr>
              <w:pStyle w:val="TableContents"/>
              <w:bidi w:val="0"/>
              <w:spacing w:before="0" w:after="283"/>
              <w:jc w:val="left"/>
              <w:rPr/>
            </w:pPr>
            <w:r>
              <w:rPr/>
              <w:t> </w:t>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March 28, 2026</w:t>
            </w:r>
          </w:p>
        </w:tc>
        <w:tc>
          <w:tcPr>
            <w:tcW w:w="1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March 29, 2025</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 Change</w:t>
            </w:r>
          </w:p>
        </w:tc>
        <w:tc>
          <w:tcPr>
            <w:tcW w:w="8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b/>
                <w:color w:val="000000"/>
                <w:sz w:val="15"/>
              </w:rPr>
            </w:pPr>
            <w:r>
              <w:rPr>
                <w:rFonts w:ascii="Onest;sans-serif" w:hAnsi="Onest;sans-serif"/>
                <w:b/>
                <w:color w:val="000000"/>
                <w:sz w:val="15"/>
              </w:rPr>
              <w:t>Net sales</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1,011.3</w:t>
            </w:r>
          </w:p>
        </w:tc>
        <w:tc>
          <w:tcPr>
            <w:tcW w:w="1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1,033.1</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(2.1</w:t>
            </w:r>
          </w:p>
        </w:tc>
        <w:tc>
          <w:tcPr>
            <w:tcW w:w="8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right"/>
              <w:rPr/>
            </w:pPr>
            <w:r>
              <w:rPr/>
              <w:t> </w:t>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rFonts w:ascii="Onest;sans-serif" w:hAnsi="Onest;sans-serif"/>
                <w:color w:val="000000"/>
                <w:sz w:val="15"/>
              </w:rPr>
            </w:pPr>
            <w:r>
              <w:rPr>
                <w:rFonts w:ascii="Onest;sans-serif" w:hAnsi="Onest;sans-serif"/>
                <w:color w:val="000000"/>
                <w:sz w:val="15"/>
              </w:rPr>
              <w:t>Cost of products sold</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575.6</w:t>
            </w:r>
          </w:p>
        </w:tc>
        <w:tc>
          <w:tcPr>
            <w:tcW w:w="1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578.4</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(0.5</w:t>
            </w:r>
          </w:p>
        </w:tc>
        <w:tc>
          <w:tcPr>
            <w:tcW w:w="8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rFonts w:ascii="Onest;sans-serif" w:hAnsi="Onest;sans-serif"/>
                <w:color w:val="000000"/>
                <w:sz w:val="15"/>
              </w:rPr>
            </w:pPr>
            <w:r>
              <w:rPr>
                <w:rFonts w:ascii="Onest;sans-serif" w:hAnsi="Onest;sans-serif"/>
                <w:color w:val="000000"/>
                <w:sz w:val="15"/>
              </w:rPr>
              <w:t>)</w:t>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right"/>
              <w:rPr/>
            </w:pPr>
            <w:r>
              <w:rPr/>
              <w:t> </w:t>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rFonts w:ascii="Onest;sans-serif" w:hAnsi="Onest;sans-serif"/>
                <w:color w:val="000000"/>
                <w:sz w:val="15"/>
              </w:rPr>
            </w:pPr>
            <w:r>
              <w:rPr>
                <w:rFonts w:ascii="Onest;sans-serif" w:hAnsi="Onest;sans-serif"/>
                <w:color w:val="000000"/>
                <w:sz w:val="15"/>
              </w:rPr>
              <w:t>Selling, general and administrative expenses</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352.7</w:t>
            </w:r>
          </w:p>
        </w:tc>
        <w:tc>
          <w:tcPr>
            <w:tcW w:w="1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314.9</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12.0</w:t>
            </w:r>
          </w:p>
        </w:tc>
        <w:tc>
          <w:tcPr>
            <w:tcW w:w="8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700"/>
              <w:jc w:val="left"/>
              <w:rPr/>
            </w:pPr>
            <w:r>
              <w:rPr/>
              <w:t> </w:t>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700"/>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right"/>
              <w:rPr/>
            </w:pPr>
            <w:r>
              <w:rPr/>
              <w:t> </w:t>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rFonts w:ascii="Onest;sans-serif" w:hAnsi="Onest;sans-serif"/>
                <w:color w:val="000000"/>
                <w:sz w:val="15"/>
              </w:rPr>
            </w:pPr>
            <w:r>
              <w:rPr>
                <w:rFonts w:ascii="Onest;sans-serif" w:hAnsi="Onest;sans-serif"/>
                <w:color w:val="000000"/>
                <w:sz w:val="15"/>
              </w:rPr>
              <w:t>Amortization of intangible assets</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18.5</w:t>
            </w:r>
          </w:p>
        </w:tc>
        <w:tc>
          <w:tcPr>
            <w:tcW w:w="1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18.0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2.8</w:t>
            </w:r>
          </w:p>
        </w:tc>
        <w:tc>
          <w:tcPr>
            <w:tcW w:w="8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pPr>
            <w:r>
              <w:rPr/>
              <w:t> </w:t>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right"/>
              <w:rPr/>
            </w:pPr>
            <w:r>
              <w:rPr/>
              <w:t> </w:t>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rFonts w:ascii="Onest;sans-serif" w:hAnsi="Onest;sans-serif"/>
                <w:color w:val="000000"/>
                <w:sz w:val="15"/>
              </w:rPr>
            </w:pPr>
            <w:r>
              <w:rPr>
                <w:rFonts w:ascii="Onest;sans-serif" w:hAnsi="Onest;sans-serif"/>
                <w:color w:val="000000"/>
                <w:sz w:val="15"/>
              </w:rPr>
              <w:t>Restructuring charges</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4.3</w:t>
            </w:r>
          </w:p>
        </w:tc>
        <w:tc>
          <w:tcPr>
            <w:tcW w:w="1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24.8</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(82.7</w:t>
            </w:r>
          </w:p>
        </w:tc>
        <w:tc>
          <w:tcPr>
            <w:tcW w:w="8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rFonts w:ascii="Onest;sans-serif" w:hAnsi="Onest;sans-serif"/>
                <w:color w:val="000000"/>
                <w:sz w:val="15"/>
              </w:rPr>
            </w:pPr>
            <w:r>
              <w:rPr>
                <w:rFonts w:ascii="Onest;sans-serif" w:hAnsi="Onest;sans-serif"/>
                <w:color w:val="000000"/>
                <w:sz w:val="15"/>
              </w:rPr>
              <w:t>)</w:t>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b/>
                <w:color w:val="000000"/>
                <w:sz w:val="15"/>
              </w:rPr>
            </w:pPr>
            <w:r>
              <w:rPr>
                <w:rFonts w:ascii="Onest;sans-serif" w:hAnsi="Onest;sans-serif"/>
                <w:b/>
                <w:color w:val="000000"/>
                <w:sz w:val="15"/>
              </w:rPr>
              <w:t>Operating income</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60.2</w:t>
            </w:r>
          </w:p>
        </w:tc>
        <w:tc>
          <w:tcPr>
            <w:tcW w:w="1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97.0</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(37.9</w:t>
            </w:r>
          </w:p>
        </w:tc>
        <w:tc>
          <w:tcPr>
            <w:tcW w:w="8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right"/>
              <w:rPr/>
            </w:pPr>
            <w:r>
              <w:rPr/>
              <w:t> </w:t>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rFonts w:ascii="Onest;sans-serif" w:hAnsi="Onest;sans-serif"/>
                <w:color w:val="000000"/>
                <w:sz w:val="15"/>
              </w:rPr>
            </w:pPr>
            <w:r>
              <w:rPr>
                <w:rFonts w:ascii="Onest;sans-serif" w:hAnsi="Onest;sans-serif"/>
                <w:color w:val="000000"/>
                <w:sz w:val="15"/>
              </w:rPr>
              <w:t>Interest expense</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26.5</w:t>
            </w:r>
          </w:p>
        </w:tc>
        <w:tc>
          <w:tcPr>
            <w:tcW w:w="1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28.6</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(7.3</w:t>
            </w:r>
          </w:p>
        </w:tc>
        <w:tc>
          <w:tcPr>
            <w:tcW w:w="8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rFonts w:ascii="Onest;sans-serif" w:hAnsi="Onest;sans-serif"/>
                <w:color w:val="000000"/>
                <w:sz w:val="15"/>
              </w:rPr>
            </w:pPr>
            <w:r>
              <w:rPr>
                <w:rFonts w:ascii="Onest;sans-serif" w:hAnsi="Onest;sans-serif"/>
                <w:color w:val="000000"/>
                <w:sz w:val="15"/>
              </w:rPr>
              <w:t>)</w:t>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right"/>
              <w:rPr/>
            </w:pPr>
            <w:r>
              <w:rPr/>
              <w:t> </w:t>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rFonts w:ascii="Onest;sans-serif" w:hAnsi="Onest;sans-serif"/>
                <w:color w:val="000000"/>
                <w:sz w:val="15"/>
              </w:rPr>
            </w:pPr>
            <w:r>
              <w:rPr>
                <w:rFonts w:ascii="Onest;sans-serif" w:hAnsi="Onest;sans-serif"/>
                <w:color w:val="000000"/>
                <w:sz w:val="15"/>
              </w:rPr>
              <w:t>Other (income)/expense, net</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(0.1</w:t>
            </w:r>
          </w:p>
        </w:tc>
        <w:tc>
          <w:tcPr>
            <w:tcW w:w="1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(90.0</w:t>
            </w:r>
          </w:p>
        </w:tc>
        <w:tc>
          <w:tcPr>
            <w:tcW w:w="8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b/>
                <w:color w:val="000000"/>
                <w:sz w:val="15"/>
              </w:rPr>
            </w:pPr>
            <w:r>
              <w:rPr>
                <w:rFonts w:ascii="Onest;sans-serif" w:hAnsi="Onest;sans-serif"/>
                <w:b/>
                <w:color w:val="000000"/>
                <w:sz w:val="15"/>
              </w:rPr>
              <w:t>Income before taxes</w:t>
            </w:r>
          </w:p>
        </w:tc>
        <w:tc>
          <w:tcPr>
            <w:tcW w:w="32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8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33.8</w:t>
            </w:r>
          </w:p>
        </w:tc>
        <w:tc>
          <w:tcPr>
            <w:tcW w:w="18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32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8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69.4</w:t>
            </w:r>
          </w:p>
        </w:tc>
        <w:tc>
          <w:tcPr>
            <w:tcW w:w="16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2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1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(51.3</w:t>
            </w:r>
          </w:p>
        </w:tc>
        <w:tc>
          <w:tcPr>
            <w:tcW w:w="89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right"/>
              <w:rPr/>
            </w:pPr>
            <w:r>
              <w:rPr/>
              <w:t> </w:t>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rFonts w:ascii="Onest;sans-serif" w:hAnsi="Onest;sans-serif"/>
                <w:color w:val="000000"/>
                <w:sz w:val="15"/>
              </w:rPr>
            </w:pPr>
            <w:r>
              <w:rPr>
                <w:rFonts w:ascii="Onest;sans-serif" w:hAnsi="Onest;sans-serif"/>
                <w:color w:val="000000"/>
                <w:sz w:val="15"/>
              </w:rPr>
              <w:t>Income tax</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9.6</w:t>
            </w:r>
          </w:p>
        </w:tc>
        <w:tc>
          <w:tcPr>
            <w:tcW w:w="1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18.0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(46.7</w:t>
            </w:r>
          </w:p>
        </w:tc>
        <w:tc>
          <w:tcPr>
            <w:tcW w:w="8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b/>
                <w:color w:val="000000"/>
                <w:sz w:val="15"/>
              </w:rPr>
            </w:pPr>
            <w:r>
              <w:rPr>
                <w:rFonts w:ascii="Onest;sans-serif" w:hAnsi="Onest;sans-serif"/>
                <w:b/>
                <w:color w:val="000000"/>
                <w:sz w:val="15"/>
              </w:rPr>
              <w:t>Net income</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24.2</w:t>
            </w:r>
          </w:p>
        </w:tc>
        <w:tc>
          <w:tcPr>
            <w:tcW w:w="1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51.4</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(52.9</w:t>
            </w:r>
          </w:p>
        </w:tc>
        <w:tc>
          <w:tcPr>
            <w:tcW w:w="8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b/>
                <w:color w:val="000000"/>
                <w:sz w:val="15"/>
              </w:rPr>
            </w:pPr>
            <w:r>
              <w:rPr>
                <w:rFonts w:ascii="Onest;sans-serif" w:hAnsi="Onest;sans-serif"/>
                <w:b/>
                <w:color w:val="000000"/>
                <w:sz w:val="15"/>
              </w:rPr>
              <w:t>Diluted earnings per common share</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0.20</w:t>
            </w:r>
          </w:p>
        </w:tc>
        <w:tc>
          <w:tcPr>
            <w:tcW w:w="1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0.42</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(51.8</w:t>
            </w:r>
          </w:p>
        </w:tc>
        <w:tc>
          <w:tcPr>
            <w:tcW w:w="8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5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b/>
                <w:color w:val="000000"/>
                <w:sz w:val="15"/>
              </w:rPr>
            </w:pPr>
            <w:r>
              <w:rPr>
                <w:rFonts w:ascii="Onest;sans-serif" w:hAnsi="Onest;sans-serif"/>
                <w:b/>
                <w:color w:val="000000"/>
                <w:sz w:val="15"/>
              </w:rPr>
              <w:t>Diluted average number of shares outstanding</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120.2</w:t>
            </w:r>
          </w:p>
        </w:tc>
        <w:tc>
          <w:tcPr>
            <w:tcW w:w="1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123.0</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(2.3</w:t>
            </w:r>
          </w:p>
        </w:tc>
        <w:tc>
          <w:tcPr>
            <w:tcW w:w="8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Onest;sans-serif" w:hAnsi="Onest;sans-serif"/>
          <w:b/>
          <w:color w:val="000000"/>
          <w:sz w:val="20"/>
        </w:rPr>
      </w:pPr>
      <w:r>
        <w:rPr>
          <w:rFonts w:ascii="Onest;sans-serif" w:hAnsi="Onest;sans-serif"/>
          <w:b/>
          <w:color w:val="000000"/>
          <w:sz w:val="20"/>
        </w:rPr>
        <w:t>FORTUNE BRANDS INNOVATIONS, INC.</w:t>
      </w:r>
    </w:p>
    <w:p>
      <w:pPr>
        <w:pStyle w:val="TextBody"/>
        <w:bidi w:val="0"/>
        <w:jc w:val="center"/>
        <w:rPr>
          <w:rFonts w:ascii="Onest;sans-serif" w:hAnsi="Onest;sans-serif"/>
          <w:b/>
          <w:color w:val="000000"/>
          <w:sz w:val="20"/>
        </w:rPr>
      </w:pPr>
      <w:r>
        <w:rPr>
          <w:rFonts w:ascii="Onest;sans-serif" w:hAnsi="Onest;sans-serif"/>
          <w:b/>
          <w:color w:val="000000"/>
          <w:sz w:val="20"/>
        </w:rPr>
        <w:t>(In millions)</w:t>
      </w:r>
    </w:p>
    <w:p>
      <w:pPr>
        <w:pStyle w:val="TextBody"/>
        <w:bidi w:val="0"/>
        <w:jc w:val="center"/>
        <w:rPr>
          <w:rFonts w:ascii="Onest;sans-serif" w:hAnsi="Onest;sans-serif"/>
          <w:i/>
          <w:color w:val="000000"/>
          <w:sz w:val="20"/>
        </w:rPr>
      </w:pPr>
      <w:r>
        <w:rPr>
          <w:rFonts w:ascii="Onest;sans-serif" w:hAnsi="Onest;sans-serif"/>
          <w:i/>
          <w:color w:val="000000"/>
          <w:sz w:val="20"/>
        </w:rPr>
        <w:t>(Unaudited)</w:t>
      </w:r>
    </w:p>
    <w:p>
      <w:pPr>
        <w:pStyle w:val="TextBody"/>
        <w:bidi w:val="0"/>
        <w:jc w:val="left"/>
        <w:rPr/>
      </w:pPr>
      <w:r>
        <w:rPr/>
        <w:t> </w:t>
      </w:r>
    </w:p>
    <w:p>
      <w:pPr>
        <w:pStyle w:val="TextBody"/>
        <w:bidi w:val="0"/>
        <w:jc w:val="left"/>
        <w:rPr>
          <w:rFonts w:ascii="Onest;sans-serif" w:hAnsi="Onest;sans-serif"/>
          <w:b/>
          <w:color w:val="000000"/>
          <w:sz w:val="20"/>
        </w:rPr>
      </w:pPr>
      <w:r>
        <w:rPr>
          <w:rFonts w:ascii="Onest;sans-serif" w:hAnsi="Onest;sans-serif"/>
          <w:b/>
          <w:color w:val="000000"/>
          <w:sz w:val="20"/>
        </w:rPr>
        <w:t>RECONCILIATIONS OF INCOME FROM CONTINUING OPERATIONS, NET OF TAX TO EBITDA BEFORE CHARGES/GAINS</w:t>
      </w:r>
    </w:p>
    <w:p>
      <w:pPr>
        <w:pStyle w:val="TextBody"/>
        <w:bidi w:val="0"/>
        <w:jc w:val="left"/>
        <w:rPr/>
      </w:pPr>
      <w:r>
        <w:rPr/>
        <w:t> </w:t>
      </w:r>
    </w:p>
    <w:tbl>
      <w:tblPr>
        <w:tblW w:w="8706" w:type="dxa"/>
        <w:jc w:val="left"/>
        <w:tblInd w:w="0" w:type="dxa"/>
        <w:tblLayout w:type="fixed"/>
        <w:tblCellMar>
          <w:top w:w="28" w:type="dxa"/>
          <w:left w:w="28" w:type="dxa"/>
          <w:bottom w:w="28" w:type="dxa"/>
          <w:right w:w="28" w:type="dxa"/>
        </w:tblCellMar>
      </w:tblPr>
      <w:tblGrid>
        <w:gridCol w:w="4601"/>
        <w:gridCol w:w="340"/>
        <w:gridCol w:w="890"/>
        <w:gridCol w:w="167"/>
        <w:gridCol w:w="340"/>
        <w:gridCol w:w="890"/>
        <w:gridCol w:w="146"/>
        <w:gridCol w:w="195"/>
        <w:gridCol w:w="646"/>
        <w:gridCol w:w="491"/>
      </w:tblGrid>
      <w:tr>
        <w:trPr/>
        <w:tc>
          <w:tcPr>
            <w:tcW w:w="460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27" w:type="dxa"/>
            <w:gridSpan w:val="5"/>
            <w:tcBorders>
              <w:top w:val="single" w:sz="4" w:space="0" w:color="000000"/>
              <w:bottom w:val="single" w:sz="4" w:space="0" w:color="000000"/>
            </w:tcBorders>
            <w:shd w:fill="D3D3D3" w:val="clear"/>
            <w:tcMar>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Thirteen Weeks Period</w:t>
            </w:r>
          </w:p>
        </w:tc>
        <w:tc>
          <w:tcPr>
            <w:tcW w:w="146" w:type="dxa"/>
            <w:tcBorders>
              <w:top w:val="single" w:sz="4" w:space="0" w:color="000000"/>
              <w:bottom w:val="single" w:sz="4" w:space="0" w:color="000000"/>
              <w:right w:val="single" w:sz="4" w:space="0" w:color="000000"/>
            </w:tcBorders>
            <w:shd w:fill="D3D3D3" w:val="clear"/>
            <w:tcMar>
              <w:left w:w="0" w:type="dxa"/>
            </w:tcMar>
            <w:vAlign w:val="center"/>
          </w:tcPr>
          <w:p>
            <w:pPr>
              <w:pStyle w:val="TableContents"/>
              <w:bidi w:val="0"/>
              <w:spacing w:before="0" w:after="283"/>
              <w:jc w:val="center"/>
              <w:rPr/>
            </w:pPr>
            <w:r>
              <w:rPr/>
              <w:t> </w:t>
            </w:r>
          </w:p>
        </w:tc>
        <w:tc>
          <w:tcPr>
            <w:tcW w:w="841" w:type="dxa"/>
            <w:gridSpan w:val="2"/>
            <w:tcBorders>
              <w:top w:val="single" w:sz="4" w:space="0" w:color="000000"/>
              <w:bottom w:val="single" w:sz="4" w:space="0" w:color="000000"/>
            </w:tcBorders>
            <w:shd w:fill="D3D3D3" w:val="clear"/>
            <w:tcMar>
              <w:left w:w="0" w:type="dxa"/>
              <w:right w:w="0" w:type="dxa"/>
            </w:tcMar>
            <w:vAlign w:val="center"/>
          </w:tcPr>
          <w:p>
            <w:pPr>
              <w:pStyle w:val="TableContents"/>
              <w:bidi w:val="0"/>
              <w:spacing w:before="0" w:after="283"/>
              <w:jc w:val="left"/>
              <w:rPr/>
            </w:pPr>
            <w:r>
              <w:rPr/>
              <w:t> </w:t>
            </w:r>
          </w:p>
        </w:tc>
        <w:tc>
          <w:tcPr>
            <w:tcW w:w="491" w:type="dxa"/>
            <w:tcBorders>
              <w:top w:val="single" w:sz="4" w:space="0" w:color="000000"/>
              <w:bottom w:val="single" w:sz="4" w:space="0" w:color="000000"/>
              <w:right w:val="single" w:sz="4" w:space="0" w:color="000000"/>
            </w:tcBorders>
            <w:shd w:fill="D3D3D3" w:val="clear"/>
            <w:tcMar>
              <w:left w:w="0" w:type="dxa"/>
            </w:tcMar>
            <w:vAlign w:val="center"/>
          </w:tcPr>
          <w:p>
            <w:pPr>
              <w:pStyle w:val="TableContents"/>
              <w:bidi w:val="0"/>
              <w:spacing w:before="0" w:after="283"/>
              <w:jc w:val="left"/>
              <w:rPr/>
            </w:pPr>
            <w:r>
              <w:rPr/>
              <w:t> </w:t>
            </w:r>
          </w:p>
        </w:tc>
      </w:tr>
      <w:tr>
        <w:trPr/>
        <w:tc>
          <w:tcPr>
            <w:tcW w:w="46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March 28, 2026</w:t>
            </w:r>
          </w:p>
        </w:tc>
        <w:tc>
          <w:tcPr>
            <w:tcW w:w="16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March 29, 2025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 Change</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b/>
                <w:color w:val="000000"/>
                <w:sz w:val="14"/>
              </w:rPr>
            </w:pPr>
            <w:r>
              <w:rPr>
                <w:rFonts w:ascii="Onest;sans-serif" w:hAnsi="Onest;sans-serif"/>
                <w:b/>
                <w:color w:val="000000"/>
                <w:sz w:val="14"/>
              </w:rPr>
              <w:t>Net income</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24.2</w:t>
            </w:r>
          </w:p>
        </w:tc>
        <w:tc>
          <w:tcPr>
            <w:tcW w:w="16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51.4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(52.9</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right"/>
              <w:rPr/>
            </w:pPr>
            <w:r>
              <w:rPr/>
              <w:t> </w:t>
            </w:r>
          </w:p>
        </w:tc>
      </w:tr>
      <w:tr>
        <w:trPr/>
        <w:tc>
          <w:tcPr>
            <w:tcW w:w="460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Depreciation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23.7</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24.8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(4.4</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w:t>
            </w:r>
          </w:p>
        </w:tc>
      </w:tr>
      <w:tr>
        <w:trPr/>
        <w:tc>
          <w:tcPr>
            <w:tcW w:w="460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Amortization of intangible assets</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18.5</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18.0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2.8</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460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Restructuring charges</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4.3</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24.8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(82.7</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w:t>
            </w:r>
          </w:p>
        </w:tc>
      </w:tr>
      <w:tr>
        <w:trPr/>
        <w:tc>
          <w:tcPr>
            <w:tcW w:w="460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Other charges/(gains)</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1.7</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14.0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(87.6</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w:t>
            </w:r>
          </w:p>
        </w:tc>
      </w:tr>
      <w:tr>
        <w:trPr/>
        <w:tc>
          <w:tcPr>
            <w:tcW w:w="460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Interest expense</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26.5</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28.6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(7.3</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w:t>
            </w:r>
          </w:p>
        </w:tc>
      </w:tr>
      <w:tr>
        <w:trPr/>
        <w:tc>
          <w:tcPr>
            <w:tcW w:w="460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Times New Roman" w:hAnsi="Times New Roman"/>
                <w:sz w:val="14"/>
              </w:rPr>
            </w:pPr>
            <w:r>
              <w:rPr>
                <w:rFonts w:ascii="Onest;sans-serif" w:hAnsi="Onest;sans-serif"/>
                <w:color w:val="000000"/>
                <w:sz w:val="14"/>
              </w:rPr>
              <w:t xml:space="preserve">Manufacturing facility fire </w:t>
            </w:r>
            <w:r>
              <w:rPr>
                <w:rFonts w:ascii="Onest;sans-serif" w:hAnsi="Onest;sans-serif"/>
                <w:color w:val="000000"/>
                <w:sz w:val="9"/>
              </w:rPr>
              <w:t>(g)</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3.5</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NM</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460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Times New Roman" w:hAnsi="Times New Roman"/>
                <w:sz w:val="14"/>
              </w:rPr>
            </w:pPr>
            <w:r>
              <w:rPr>
                <w:rFonts w:ascii="Onest;sans-serif" w:hAnsi="Onest;sans-serif"/>
                <w:color w:val="000000"/>
                <w:sz w:val="14"/>
              </w:rPr>
              <w:t>Governance advisory services and leadership transitions</w:t>
            </w:r>
            <w:r>
              <w:rPr>
                <w:rFonts w:ascii="Times New Roman" w:hAnsi="Times New Roman"/>
                <w:color w:val="000000"/>
                <w:sz w:val="14"/>
              </w:rPr>
              <w:t> </w:t>
            </w:r>
            <w:r>
              <w:rPr>
                <w:rFonts w:ascii="Onest;sans-serif" w:hAnsi="Onest;sans-serif"/>
                <w:color w:val="000000"/>
                <w:sz w:val="9"/>
              </w:rPr>
              <w:t>(i)</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42.4</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NM</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460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Income taxes</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9.6</w:t>
            </w:r>
          </w:p>
        </w:tc>
        <w:tc>
          <w:tcPr>
            <w:tcW w:w="16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18.0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(46.7</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sz w:val="14"/>
              </w:rPr>
            </w:pPr>
            <w:r>
              <w:rPr>
                <w:rFonts w:ascii="Onest;sans-serif" w:hAnsi="Onest;sans-serif"/>
                <w:b/>
                <w:color w:val="000000"/>
                <w:sz w:val="14"/>
              </w:rPr>
              <w:t xml:space="preserve">EBITDA before charges/(gains) </w:t>
            </w:r>
            <w:r>
              <w:rPr>
                <w:rFonts w:ascii="Onest;sans-serif" w:hAnsi="Onest;sans-serif"/>
                <w:b/>
                <w:color w:val="000000"/>
                <w:sz w:val="9"/>
              </w:rPr>
              <w:t>(c)</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154.4</w:t>
            </w:r>
          </w:p>
        </w:tc>
        <w:tc>
          <w:tcPr>
            <w:tcW w:w="16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179.6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(14.0</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r>
    </w:tbl>
    <w:p>
      <w:pPr>
        <w:pStyle w:val="TextBody"/>
        <w:bidi w:val="0"/>
        <w:jc w:val="left"/>
        <w:rPr/>
      </w:pPr>
      <w:r>
        <w:rPr/>
        <w:t> </w:t>
      </w:r>
    </w:p>
    <w:p>
      <w:pPr>
        <w:pStyle w:val="TextBody"/>
        <w:bidi w:val="0"/>
        <w:jc w:val="left"/>
        <w:rPr>
          <w:rFonts w:ascii="Onest;sans-serif" w:hAnsi="Onest;sans-serif"/>
          <w:color w:val="000000"/>
          <w:sz w:val="16"/>
        </w:rPr>
      </w:pPr>
      <w:r>
        <w:rPr>
          <w:rFonts w:ascii="Onest;sans-serif" w:hAnsi="Onest;sans-serif"/>
          <w:color w:val="000000"/>
          <w:sz w:val="16"/>
        </w:rPr>
        <w:t>* Depreciation excludes accelerated depreciation expense of $(0.2) million for the thirteen weeks ended March 28, 2026, and $8.5 million for the thirteen weeks ended March 29, 2025. Accelerated depreciation is included in restructuring and other charges/gains.</w:t>
      </w:r>
    </w:p>
    <w:p>
      <w:pPr>
        <w:pStyle w:val="TextBody"/>
        <w:bidi w:val="0"/>
        <w:jc w:val="left"/>
        <w:rPr/>
      </w:pPr>
      <w:r>
        <w:rPr/>
        <w:t> </w:t>
      </w:r>
    </w:p>
    <w:p>
      <w:pPr>
        <w:pStyle w:val="TextBody"/>
        <w:bidi w:val="0"/>
        <w:jc w:val="left"/>
        <w:rPr>
          <w:rFonts w:ascii="Onest;sans-serif" w:hAnsi="Onest;sans-serif"/>
          <w:b/>
          <w:color w:val="000000"/>
          <w:sz w:val="20"/>
        </w:rPr>
      </w:pPr>
      <w:r>
        <w:rPr>
          <w:rFonts w:ascii="Onest;sans-serif" w:hAnsi="Onest;sans-serif"/>
          <w:b/>
          <w:color w:val="000000"/>
          <w:sz w:val="20"/>
        </w:rPr>
        <w:t>CALCULATION OF NET DEBT-TO-EBITDA BEFORE CHARGES/GAINS RATIO</w:t>
      </w:r>
    </w:p>
    <w:p>
      <w:pPr>
        <w:pStyle w:val="TextBody"/>
        <w:bidi w:val="0"/>
        <w:jc w:val="left"/>
        <w:rPr/>
      </w:pPr>
      <w:r>
        <w:rPr/>
        <w:t> </w:t>
      </w:r>
    </w:p>
    <w:tbl>
      <w:tblPr>
        <w:tblW w:w="5936" w:type="dxa"/>
        <w:jc w:val="left"/>
        <w:tblInd w:w="0" w:type="dxa"/>
        <w:tblLayout w:type="fixed"/>
        <w:tblCellMar>
          <w:top w:w="28" w:type="dxa"/>
          <w:left w:w="28" w:type="dxa"/>
          <w:bottom w:w="28" w:type="dxa"/>
          <w:right w:w="28" w:type="dxa"/>
        </w:tblCellMar>
      </w:tblPr>
      <w:tblGrid>
        <w:gridCol w:w="4051"/>
        <w:gridCol w:w="146"/>
        <w:gridCol w:w="146"/>
        <w:gridCol w:w="196"/>
        <w:gridCol w:w="646"/>
        <w:gridCol w:w="75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4"/>
              </w:rPr>
            </w:pPr>
            <w:r>
              <w:rPr>
                <w:rFonts w:ascii="Onest;sans-serif" w:hAnsi="Onest;sans-serif"/>
                <w:b/>
                <w:color w:val="000000"/>
                <w:sz w:val="14"/>
              </w:rPr>
              <w:t>As of March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Long-term debt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2,713.7</w:t>
            </w:r>
          </w:p>
        </w:tc>
        <w:tc>
          <w:tcPr>
            <w:tcW w:w="75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ind w:left="0" w:right="0" w:firstLine="56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Onest;sans-serif" w:hAnsi="Onest;sans-serif"/>
                <w:color w:val="000000"/>
                <w:sz w:val="14"/>
              </w:rPr>
            </w:pPr>
            <w:r>
              <w:rPr>
                <w:rFonts w:ascii="Onest;sans-serif" w:hAnsi="Onest;sans-serif"/>
                <w:color w:val="000000"/>
                <w:sz w:val="14"/>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2,713.7</w:t>
            </w:r>
          </w:p>
        </w:tc>
        <w:tc>
          <w:tcPr>
            <w:tcW w:w="75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56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Onest;sans-serif" w:hAnsi="Onest;sans-serif"/>
                <w:color w:val="000000"/>
                <w:sz w:val="14"/>
              </w:rPr>
            </w:pPr>
            <w:r>
              <w:rPr>
                <w:rFonts w:ascii="Onest;sans-serif" w:hAnsi="Onest;sans-serif"/>
                <w:color w:val="000000"/>
                <w:sz w:val="14"/>
              </w:rPr>
              <w:t>Cash and cash equivalents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223.1</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8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Net debt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2,490.6</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4"/>
              </w:rPr>
            </w:pPr>
            <w:r>
              <w:rPr>
                <w:rFonts w:ascii="Onest;sans-serif" w:hAnsi="Onest;sans-serif"/>
                <w:b/>
                <w:color w:val="000000"/>
                <w:sz w:val="14"/>
              </w:rPr>
              <w:t>For the fifty-two weeks ended March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14"/>
              </w:rPr>
            </w:pPr>
            <w:r>
              <w:rPr>
                <w:rFonts w:ascii="Onest;sans-serif" w:hAnsi="Onest;sans-serif"/>
                <w:color w:val="000000"/>
                <w:sz w:val="14"/>
              </w:rPr>
              <w:t xml:space="preserve">EBITDA before charges/(gains) (2) </w:t>
            </w:r>
            <w:r>
              <w:rPr>
                <w:rFonts w:ascii="Onest;sans-serif" w:hAnsi="Onest;sans-serif"/>
                <w:color w:val="000000"/>
                <w:sz w:val="9"/>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853.2</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8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4"/>
              </w:rPr>
            </w:pPr>
            <w:r>
              <w:rPr>
                <w:rFonts w:ascii="Onest;sans-serif" w:hAnsi="Onest;sans-serif"/>
                <w:b/>
                <w:color w:val="000000"/>
                <w:sz w:val="14"/>
              </w:rPr>
              <w:t>Net debt-to-EBITDA before charges/(gains) ratio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2.9</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Onest;sans-serif" w:hAnsi="Onest;sans-serif"/>
          <w:color w:val="000000"/>
          <w:sz w:val="16"/>
        </w:rPr>
      </w:pPr>
      <w:r>
        <w:rPr>
          <w:rFonts w:ascii="Onest;sans-serif" w:hAnsi="Onest;sans-serif"/>
          <w:color w:val="000000"/>
          <w:sz w:val="16"/>
        </w:rPr>
        <w:t>** Amounts are per the Unaudited Condensed Consolidated Balance Sheet as of March 28,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18"/>
        <w:gridCol w:w="512"/>
        <w:gridCol w:w="1339"/>
        <w:gridCol w:w="146"/>
        <w:gridCol w:w="455"/>
        <w:gridCol w:w="1197"/>
        <w:gridCol w:w="146"/>
        <w:gridCol w:w="473"/>
        <w:gridCol w:w="1243"/>
        <w:gridCol w:w="476"/>
      </w:tblGrid>
      <w:tr>
        <w:trPr/>
        <w:tc>
          <w:tcPr>
            <w:tcW w:w="421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421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51" w:type="dxa"/>
            <w:gridSpan w:val="2"/>
            <w:tcBorders>
              <w:top w:val="single" w:sz="4" w:space="0" w:color="000000"/>
              <w:bottom w:val="single" w:sz="4" w:space="0" w:color="000000"/>
            </w:tcBorders>
            <w:shd w:fill="D3D3D3" w:val="clear"/>
            <w:tcMar>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Thirty-Nine Weeks Ended</w:t>
            </w:r>
          </w:p>
        </w:tc>
        <w:tc>
          <w:tcPr>
            <w:tcW w:w="146" w:type="dxa"/>
            <w:tcBorders>
              <w:top w:val="single" w:sz="4" w:space="0" w:color="000000"/>
              <w:bottom w:val="single" w:sz="4" w:space="0" w:color="000000"/>
              <w:right w:val="single" w:sz="4" w:space="0" w:color="000000"/>
            </w:tcBorders>
            <w:shd w:fill="D3D3D3" w:val="clear"/>
            <w:tcMar>
              <w:left w:w="0" w:type="dxa"/>
            </w:tcMar>
            <w:vAlign w:val="center"/>
          </w:tcPr>
          <w:p>
            <w:pPr>
              <w:pStyle w:val="TableContents"/>
              <w:bidi w:val="0"/>
              <w:spacing w:before="0" w:after="283"/>
              <w:jc w:val="center"/>
              <w:rPr/>
            </w:pPr>
            <w:r>
              <w:rPr/>
              <w:t> </w:t>
            </w:r>
          </w:p>
        </w:tc>
        <w:tc>
          <w:tcPr>
            <w:tcW w:w="1652" w:type="dxa"/>
            <w:gridSpan w:val="2"/>
            <w:tcBorders>
              <w:top w:val="single" w:sz="4" w:space="0" w:color="000000"/>
              <w:bottom w:val="single" w:sz="4" w:space="0" w:color="000000"/>
            </w:tcBorders>
            <w:shd w:fill="D3D3D3" w:val="clear"/>
            <w:tcMar>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Thirteen Weeks Period</w:t>
            </w:r>
          </w:p>
        </w:tc>
        <w:tc>
          <w:tcPr>
            <w:tcW w:w="146" w:type="dxa"/>
            <w:tcBorders>
              <w:top w:val="single" w:sz="4" w:space="0" w:color="000000"/>
              <w:bottom w:val="single" w:sz="4" w:space="0" w:color="000000"/>
              <w:right w:val="single" w:sz="4" w:space="0" w:color="000000"/>
            </w:tcBorders>
            <w:shd w:fill="D3D3D3" w:val="clear"/>
            <w:tcMar>
              <w:left w:w="0" w:type="dxa"/>
            </w:tcMar>
            <w:vAlign w:val="center"/>
          </w:tcPr>
          <w:p>
            <w:pPr>
              <w:pStyle w:val="TableContents"/>
              <w:bidi w:val="0"/>
              <w:spacing w:before="0" w:after="283"/>
              <w:jc w:val="center"/>
              <w:rPr/>
            </w:pPr>
            <w:r>
              <w:rPr/>
              <w:t> </w:t>
            </w:r>
          </w:p>
        </w:tc>
        <w:tc>
          <w:tcPr>
            <w:tcW w:w="1716" w:type="dxa"/>
            <w:gridSpan w:val="2"/>
            <w:tcBorders>
              <w:top w:val="single" w:sz="4" w:space="0" w:color="000000"/>
              <w:bottom w:val="single" w:sz="4" w:space="0" w:color="000000"/>
            </w:tcBorders>
            <w:shd w:fill="D3D3D3" w:val="clear"/>
            <w:tcMar>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Fifty-Two Weeks Ended</w:t>
            </w:r>
          </w:p>
        </w:tc>
        <w:tc>
          <w:tcPr>
            <w:tcW w:w="476" w:type="dxa"/>
            <w:tcBorders>
              <w:top w:val="single" w:sz="4" w:space="0" w:color="000000"/>
              <w:bottom w:val="single" w:sz="4" w:space="0" w:color="000000"/>
              <w:right w:val="single" w:sz="4" w:space="0" w:color="000000"/>
            </w:tcBorders>
            <w:shd w:fill="D3D3D3" w:val="clear"/>
            <w:tcMar>
              <w:left w:w="0" w:type="dxa"/>
            </w:tcMar>
            <w:vAlign w:val="center"/>
          </w:tcPr>
          <w:p>
            <w:pPr>
              <w:pStyle w:val="TableContents"/>
              <w:bidi w:val="0"/>
              <w:spacing w:before="0" w:after="283"/>
              <w:jc w:val="center"/>
              <w:rPr/>
            </w:pPr>
            <w:r>
              <w:rPr/>
              <w:t> </w:t>
            </w:r>
          </w:p>
        </w:tc>
      </w:tr>
      <w:tr>
        <w:trPr/>
        <w:tc>
          <w:tcPr>
            <w:tcW w:w="421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December 27, 2025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6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March 28, 2026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March 28, 2026</w:t>
            </w:r>
          </w:p>
        </w:tc>
        <w:tc>
          <w:tcPr>
            <w:tcW w:w="4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b/>
                <w:color w:val="000000"/>
                <w:sz w:val="14"/>
              </w:rPr>
            </w:pPr>
            <w:r>
              <w:rPr>
                <w:rFonts w:ascii="Onest;sans-serif" w:hAnsi="Onest;sans-serif"/>
                <w:b/>
                <w:color w:val="000000"/>
                <w:sz w:val="14"/>
              </w:rPr>
              <w:t>Net income</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247.5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24.2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271.7</w:t>
            </w:r>
          </w:p>
        </w:tc>
        <w:tc>
          <w:tcPr>
            <w:tcW w:w="4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218"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Depreciation***</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74.9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23.7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98.6</w:t>
            </w:r>
          </w:p>
        </w:tc>
        <w:tc>
          <w:tcPr>
            <w:tcW w:w="47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4218"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Amortization of intangible assets</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57.3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18.5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75.8</w:t>
            </w:r>
          </w:p>
        </w:tc>
        <w:tc>
          <w:tcPr>
            <w:tcW w:w="47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4218"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Restructuring charges</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27.6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31.9</w:t>
            </w:r>
          </w:p>
        </w:tc>
        <w:tc>
          <w:tcPr>
            <w:tcW w:w="47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4218"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Other charges/(gains)</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39.1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40.8</w:t>
            </w:r>
          </w:p>
        </w:tc>
        <w:tc>
          <w:tcPr>
            <w:tcW w:w="47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4218"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Interest expense</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86.6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26.5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113.1</w:t>
            </w:r>
          </w:p>
        </w:tc>
        <w:tc>
          <w:tcPr>
            <w:tcW w:w="47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4218"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Times New Roman" w:hAnsi="Times New Roman"/>
                <w:sz w:val="14"/>
              </w:rPr>
            </w:pPr>
            <w:r>
              <w:rPr>
                <w:rFonts w:ascii="Onest;sans-serif" w:hAnsi="Onest;sans-serif"/>
                <w:color w:val="000000"/>
                <w:sz w:val="14"/>
              </w:rPr>
              <w:t xml:space="preserve">Asset impairment charge </w:t>
            </w:r>
            <w:r>
              <w:rPr>
                <w:rFonts w:ascii="Onest;sans-serif" w:hAnsi="Onest;sans-serif"/>
                <w:color w:val="000000"/>
                <w:sz w:val="9"/>
              </w:rPr>
              <w:t>(f)</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53.6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53.6</w:t>
            </w:r>
          </w:p>
        </w:tc>
        <w:tc>
          <w:tcPr>
            <w:tcW w:w="47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4218"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Times New Roman" w:hAnsi="Times New Roman"/>
                <w:sz w:val="14"/>
              </w:rPr>
            </w:pPr>
            <w:r>
              <w:rPr>
                <w:rFonts w:ascii="Onest;sans-serif" w:hAnsi="Onest;sans-serif"/>
                <w:color w:val="000000"/>
                <w:sz w:val="14"/>
              </w:rPr>
              <w:t xml:space="preserve">Manufacturing facility fire </w:t>
            </w:r>
            <w:r>
              <w:rPr>
                <w:rFonts w:ascii="Onest;sans-serif" w:hAnsi="Onest;sans-serif"/>
                <w:color w:val="000000"/>
                <w:sz w:val="9"/>
              </w:rPr>
              <w:t>(g)</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21.1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3.5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24.6</w:t>
            </w:r>
          </w:p>
        </w:tc>
        <w:tc>
          <w:tcPr>
            <w:tcW w:w="47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4218"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Times New Roman" w:hAnsi="Times New Roman"/>
                <w:sz w:val="14"/>
              </w:rPr>
            </w:pPr>
            <w:r>
              <w:rPr>
                <w:rFonts w:ascii="Onest;sans-serif" w:hAnsi="Onest;sans-serif"/>
                <w:color w:val="000000"/>
                <w:sz w:val="14"/>
              </w:rPr>
              <w:t xml:space="preserve">Transformation costs </w:t>
            </w:r>
            <w:r>
              <w:rPr>
                <w:rFonts w:ascii="Onest;sans-serif" w:hAnsi="Onest;sans-serif"/>
                <w:color w:val="000000"/>
                <w:sz w:val="9"/>
              </w:rPr>
              <w:t>(h)</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3.0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3.0</w:t>
            </w:r>
          </w:p>
        </w:tc>
        <w:tc>
          <w:tcPr>
            <w:tcW w:w="47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4218"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Times New Roman" w:hAnsi="Times New Roman"/>
                <w:sz w:val="14"/>
              </w:rPr>
            </w:pPr>
            <w:r>
              <w:rPr>
                <w:rFonts w:ascii="Onest;sans-serif" w:hAnsi="Onest;sans-serif"/>
                <w:color w:val="000000"/>
                <w:sz w:val="14"/>
              </w:rPr>
              <w:t>Governance advisory services and leadership transitions</w:t>
            </w:r>
            <w:r>
              <w:rPr>
                <w:rFonts w:ascii="Times New Roman" w:hAnsi="Times New Roman"/>
                <w:color w:val="000000"/>
                <w:sz w:val="14"/>
              </w:rPr>
              <w:t> </w:t>
            </w:r>
            <w:r>
              <w:rPr>
                <w:rFonts w:ascii="Onest;sans-serif" w:hAnsi="Onest;sans-serif"/>
                <w:color w:val="000000"/>
                <w:sz w:val="9"/>
              </w:rPr>
              <w:t>(i)</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42.4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42.4</w:t>
            </w:r>
          </w:p>
        </w:tc>
        <w:tc>
          <w:tcPr>
            <w:tcW w:w="47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4218"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Income taxes</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88.1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9.6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97.7</w:t>
            </w:r>
          </w:p>
        </w:tc>
        <w:tc>
          <w:tcPr>
            <w:tcW w:w="4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21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sz w:val="14"/>
              </w:rPr>
            </w:pPr>
            <w:r>
              <w:rPr>
                <w:rFonts w:ascii="Onest;sans-serif" w:hAnsi="Onest;sans-serif"/>
                <w:b/>
                <w:color w:val="000000"/>
                <w:sz w:val="14"/>
              </w:rPr>
              <w:t xml:space="preserve">EBITDA before charges/(gains) </w:t>
            </w:r>
            <w:r>
              <w:rPr>
                <w:rFonts w:ascii="Onest;sans-serif" w:hAnsi="Onest;sans-serif"/>
                <w:b/>
                <w:color w:val="000000"/>
                <w:sz w:val="9"/>
              </w:rPr>
              <w:t>(c)</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698.8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154.4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853.2</w:t>
            </w:r>
          </w:p>
        </w:tc>
        <w:tc>
          <w:tcPr>
            <w:tcW w:w="4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Onest;sans-serif" w:hAnsi="Onest;sans-serif"/>
          <w:color w:val="000000"/>
          <w:sz w:val="16"/>
        </w:rPr>
        <w:t>*** Depreciation excludes accelerated depreciation expense of $10.7 million for the thirty-nine weeks ended December 27, 2025, and $(0.2) million for the thirteen weeks ended March 27, 2026. Accelerated depreciation is included in restructuring and other charges/gains.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Onest;sans-serif" w:hAnsi="Onest;sans-serif"/>
          <w:color w:val="000000"/>
          <w:sz w:val="16"/>
        </w:rPr>
      </w:pPr>
      <w:r>
        <w:rPr>
          <w:rFonts w:ascii="Onest;sans-serif" w:hAnsi="Onest;sans-serif"/>
          <w:color w:val="000000"/>
          <w:sz w:val="16"/>
        </w:rPr>
        <w:t>(c) (f) (g) (h) (i) For definitions of Non-GAAP measures, see Definitions of Terms page</w:t>
      </w:r>
    </w:p>
    <w:p>
      <w:pPr>
        <w:pStyle w:val="TextBody"/>
        <w:bidi w:val="0"/>
        <w:spacing w:before="120" w:after="283"/>
        <w:jc w:val="left"/>
        <w:rPr>
          <w:rFonts w:ascii="Onest;sans-serif" w:hAnsi="Onest;sans-serif"/>
          <w:color w:val="000000"/>
          <w:sz w:val="16"/>
        </w:rPr>
      </w:pPr>
      <w:r>
        <w:rPr>
          <w:rFonts w:ascii="Onest;sans-serif" w:hAnsi="Onest;sans-serif"/>
          <w:color w:val="000000"/>
          <w:sz w:val="16"/>
        </w:rPr>
        <w:t>NM = Not meaningful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Onest;sans-serif" w:hAnsi="Onest;sans-serif"/>
          <w:b/>
          <w:color w:val="000000"/>
          <w:sz w:val="20"/>
        </w:rPr>
      </w:pPr>
      <w:r>
        <w:rPr>
          <w:rFonts w:ascii="Onest;sans-serif" w:hAnsi="Onest;sans-serif"/>
          <w:b/>
          <w:color w:val="000000"/>
          <w:sz w:val="20"/>
        </w:rPr>
        <w:t>RECONCILIATION OF DILUTED EPS FROM CONTINUING OPERATIONS BEFORE CHARGES/GAINS</w:t>
      </w:r>
    </w:p>
    <w:p>
      <w:pPr>
        <w:pStyle w:val="TextBody"/>
        <w:bidi w:val="0"/>
        <w:spacing w:before="200" w:after="283"/>
        <w:jc w:val="left"/>
        <w:rPr>
          <w:rFonts w:ascii="Onest;sans-serif" w:hAnsi="Onest;sans-serif"/>
          <w:color w:val="000000"/>
          <w:sz w:val="16"/>
        </w:rPr>
      </w:pPr>
      <w:r>
        <w:rPr>
          <w:rFonts w:ascii="Onest;sans-serif" w:hAnsi="Onest;sans-serif"/>
          <w:color w:val="000000"/>
          <w:sz w:val="16"/>
        </w:rPr>
        <w:t>For the thirteen weeks ended March 28, 2026, diluted EPS before charges/gains is calculated as income from continuing operations on a diluted per-share basis, excluding $4.3 million ($3.3 million after tax or $0.03 per diluted share) of restructuring charges, $1.7 million ($1.3 million after tax or $0.01 per diluted share) of other charges/gains, $3.5 million ($2.6 million after tax or $0.02 per diluted share) of net costs relating to a manufacturing facility fire and $42.4 million ($32.4 million after tax or $0.27 per diluted share) of costs associated with governance advisory services and leadership changes.</w:t>
      </w:r>
    </w:p>
    <w:p>
      <w:pPr>
        <w:pStyle w:val="TextBody"/>
        <w:bidi w:val="0"/>
        <w:spacing w:before="200" w:after="283"/>
        <w:jc w:val="left"/>
        <w:rPr>
          <w:rFonts w:ascii="Onest;sans-serif" w:hAnsi="Onest;sans-serif"/>
          <w:color w:val="000000"/>
          <w:sz w:val="16"/>
        </w:rPr>
      </w:pPr>
      <w:r>
        <w:rPr>
          <w:rFonts w:ascii="Onest;sans-serif" w:hAnsi="Onest;sans-serif"/>
          <w:color w:val="000000"/>
          <w:sz w:val="16"/>
        </w:rPr>
        <w:t>For the thirteen weeks ended March 29, 2025, the diluted EPS before charges/gains is calculated as income from continuing operations on a diluted per-share basis, excluding $24.8 million ($17.0 million after tax or $0.14 per diluted share) of restructuring charges and $14.0 million ($12.7 million after tax or $0.10 per diluted share) of other charges/gains.</w:t>
      </w:r>
    </w:p>
    <w:p>
      <w:pPr>
        <w:pStyle w:val="TextBody"/>
        <w:bidi w:val="0"/>
        <w:spacing w:before="200" w:after="283"/>
        <w:jc w:val="left"/>
        <w:rPr/>
      </w:pPr>
      <w:r>
        <w:rPr/>
        <w:t> </w:t>
      </w:r>
    </w:p>
    <w:tbl>
      <w:tblPr>
        <w:tblW w:w="9628" w:type="dxa"/>
        <w:jc w:val="left"/>
        <w:tblInd w:w="0" w:type="dxa"/>
        <w:tblLayout w:type="fixed"/>
        <w:tblCellMar>
          <w:top w:w="28" w:type="dxa"/>
          <w:left w:w="28" w:type="dxa"/>
          <w:bottom w:w="28" w:type="dxa"/>
          <w:right w:w="28" w:type="dxa"/>
        </w:tblCellMar>
      </w:tblPr>
      <w:tblGrid>
        <w:gridCol w:w="4906"/>
        <w:gridCol w:w="447"/>
        <w:gridCol w:w="963"/>
        <w:gridCol w:w="214"/>
        <w:gridCol w:w="447"/>
        <w:gridCol w:w="963"/>
        <w:gridCol w:w="146"/>
        <w:gridCol w:w="216"/>
        <w:gridCol w:w="715"/>
        <w:gridCol w:w="611"/>
      </w:tblGrid>
      <w:tr>
        <w:trPr/>
        <w:tc>
          <w:tcPr>
            <w:tcW w:w="490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9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34" w:type="dxa"/>
            <w:gridSpan w:val="5"/>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Thirteen Weeks Period</w:t>
            </w:r>
          </w:p>
        </w:tc>
        <w:tc>
          <w:tcPr>
            <w:tcW w:w="14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pPr>
            <w:r>
              <w:rPr/>
              <w:t> </w:t>
            </w:r>
          </w:p>
        </w:tc>
        <w:tc>
          <w:tcPr>
            <w:tcW w:w="931" w:type="dxa"/>
            <w:gridSpan w:val="2"/>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left"/>
              <w:rPr/>
            </w:pPr>
            <w:r>
              <w:rPr/>
              <w:t> </w:t>
            </w:r>
          </w:p>
        </w:tc>
        <w:tc>
          <w:tcPr>
            <w:tcW w:w="611"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left"/>
              <w:rPr/>
            </w:pPr>
            <w:r>
              <w:rPr/>
              <w:t> </w:t>
            </w:r>
          </w:p>
        </w:tc>
      </w:tr>
      <w:tr>
        <w:trPr/>
        <w:tc>
          <w:tcPr>
            <w:tcW w:w="49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March 28, 2026</w:t>
            </w:r>
          </w:p>
        </w:tc>
        <w:tc>
          <w:tcPr>
            <w:tcW w:w="2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March 29, 2025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 Change</w:t>
            </w:r>
          </w:p>
        </w:tc>
        <w:tc>
          <w:tcPr>
            <w:tcW w:w="6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5"/>
              </w:rPr>
            </w:pPr>
            <w:r>
              <w:rPr>
                <w:rFonts w:ascii="Onest;sans-serif" w:hAnsi="Onest;sans-serif"/>
                <w:b/>
                <w:color w:val="000000"/>
                <w:sz w:val="15"/>
              </w:rPr>
              <w:t>Earnings per common share (EPS) - Diluted</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9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b/>
                <w:color w:val="000000"/>
                <w:sz w:val="15"/>
              </w:rPr>
            </w:pPr>
            <w:r>
              <w:rPr>
                <w:rFonts w:ascii="Onest;sans-serif" w:hAnsi="Onest;sans-serif"/>
                <w:b/>
                <w:color w:val="000000"/>
                <w:sz w:val="15"/>
              </w:rPr>
              <w:t>Diluted EPS from continuing operations (GAAP)</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0.20</w:t>
            </w:r>
          </w:p>
        </w:tc>
        <w:tc>
          <w:tcPr>
            <w:tcW w:w="2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0.42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(51.8</w:t>
            </w:r>
          </w:p>
        </w:tc>
        <w:tc>
          <w:tcPr>
            <w:tcW w:w="6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400"/>
              <w:jc w:val="left"/>
              <w:rPr>
                <w:rFonts w:ascii="Onest;sans-serif" w:hAnsi="Onest;sans-serif"/>
                <w:color w:val="000000"/>
                <w:sz w:val="15"/>
              </w:rPr>
            </w:pPr>
            <w:r>
              <w:rPr>
                <w:rFonts w:ascii="Onest;sans-serif" w:hAnsi="Onest;sans-serif"/>
                <w:color w:val="000000"/>
                <w:sz w:val="15"/>
              </w:rPr>
              <w:t>)</w:t>
            </w:r>
          </w:p>
        </w:tc>
      </w:tr>
      <w:tr>
        <w:trPr/>
        <w:tc>
          <w:tcPr>
            <w:tcW w:w="490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00"/>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00"/>
              <w:jc w:val="right"/>
              <w:rPr/>
            </w:pPr>
            <w:r>
              <w:rPr/>
              <w:t> </w:t>
            </w:r>
          </w:p>
        </w:tc>
      </w:tr>
      <w:tr>
        <w:trPr/>
        <w:tc>
          <w:tcPr>
            <w:tcW w:w="490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00"/>
              <w:jc w:val="left"/>
              <w:rPr>
                <w:rFonts w:ascii="Onest;sans-serif" w:hAnsi="Onest;sans-serif"/>
                <w:color w:val="000000"/>
                <w:sz w:val="15"/>
              </w:rPr>
            </w:pPr>
            <w:r>
              <w:rPr>
                <w:rFonts w:ascii="Onest;sans-serif" w:hAnsi="Onest;sans-serif"/>
                <w:color w:val="000000"/>
                <w:sz w:val="15"/>
              </w:rPr>
              <w:t>Restructuring charges</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0.03</w:t>
            </w:r>
          </w:p>
        </w:tc>
        <w:tc>
          <w:tcPr>
            <w:tcW w:w="2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0.14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(78.6</w:t>
            </w:r>
          </w:p>
        </w:tc>
        <w:tc>
          <w:tcPr>
            <w:tcW w:w="61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00"/>
              <w:jc w:val="left"/>
              <w:rPr>
                <w:rFonts w:ascii="Onest;sans-serif" w:hAnsi="Onest;sans-serif"/>
                <w:color w:val="000000"/>
                <w:sz w:val="15"/>
              </w:rPr>
            </w:pPr>
            <w:r>
              <w:rPr>
                <w:rFonts w:ascii="Onest;sans-serif" w:hAnsi="Onest;sans-serif"/>
                <w:color w:val="000000"/>
                <w:sz w:val="15"/>
              </w:rPr>
              <w:t>)</w:t>
            </w:r>
          </w:p>
        </w:tc>
      </w:tr>
      <w:tr>
        <w:trPr/>
        <w:tc>
          <w:tcPr>
            <w:tcW w:w="490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00"/>
              <w:jc w:val="left"/>
              <w:rPr>
                <w:rFonts w:ascii="Onest;sans-serif" w:hAnsi="Onest;sans-serif"/>
                <w:color w:val="000000"/>
                <w:sz w:val="15"/>
              </w:rPr>
            </w:pPr>
            <w:r>
              <w:rPr>
                <w:rFonts w:ascii="Onest;sans-serif" w:hAnsi="Onest;sans-serif"/>
                <w:color w:val="000000"/>
                <w:sz w:val="15"/>
              </w:rPr>
              <w:t>Other charges/(gains)</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0.01</w:t>
            </w:r>
          </w:p>
        </w:tc>
        <w:tc>
          <w:tcPr>
            <w:tcW w:w="2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0.10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(90.0</w:t>
            </w:r>
          </w:p>
        </w:tc>
        <w:tc>
          <w:tcPr>
            <w:tcW w:w="61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00"/>
              <w:jc w:val="left"/>
              <w:rPr>
                <w:rFonts w:ascii="Onest;sans-serif" w:hAnsi="Onest;sans-serif"/>
                <w:color w:val="000000"/>
                <w:sz w:val="15"/>
              </w:rPr>
            </w:pPr>
            <w:r>
              <w:rPr>
                <w:rFonts w:ascii="Onest;sans-serif" w:hAnsi="Onest;sans-serif"/>
                <w:color w:val="000000"/>
                <w:sz w:val="15"/>
              </w:rPr>
              <w:t>)</w:t>
            </w:r>
          </w:p>
        </w:tc>
      </w:tr>
      <w:tr>
        <w:trPr/>
        <w:tc>
          <w:tcPr>
            <w:tcW w:w="490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00"/>
              <w:jc w:val="left"/>
              <w:rPr>
                <w:rFonts w:ascii="Times New Roman" w:hAnsi="Times New Roman"/>
                <w:sz w:val="15"/>
              </w:rPr>
            </w:pPr>
            <w:r>
              <w:rPr>
                <w:rFonts w:ascii="Onest;sans-serif" w:hAnsi="Onest;sans-serif"/>
                <w:color w:val="000000"/>
                <w:sz w:val="15"/>
              </w:rPr>
              <w:t xml:space="preserve">Manufacturing facility fire </w:t>
            </w:r>
            <w:r>
              <w:rPr>
                <w:rFonts w:ascii="Onest;sans-serif" w:hAnsi="Onest;sans-serif"/>
                <w:color w:val="000000"/>
                <w:sz w:val="10"/>
              </w:rPr>
              <w:t>(g)</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0.02</w:t>
            </w:r>
          </w:p>
        </w:tc>
        <w:tc>
          <w:tcPr>
            <w:tcW w:w="2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NM</w:t>
            </w:r>
          </w:p>
        </w:tc>
        <w:tc>
          <w:tcPr>
            <w:tcW w:w="61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00"/>
              <w:jc w:val="right"/>
              <w:rPr/>
            </w:pPr>
            <w:r>
              <w:rPr/>
              <w:t> </w:t>
            </w:r>
          </w:p>
        </w:tc>
      </w:tr>
      <w:tr>
        <w:trPr/>
        <w:tc>
          <w:tcPr>
            <w:tcW w:w="490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00"/>
              <w:jc w:val="left"/>
              <w:rPr>
                <w:rFonts w:ascii="Times New Roman" w:hAnsi="Times New Roman"/>
                <w:sz w:val="15"/>
              </w:rPr>
            </w:pPr>
            <w:r>
              <w:rPr>
                <w:rFonts w:ascii="Onest;sans-serif" w:hAnsi="Onest;sans-serif"/>
                <w:color w:val="000000"/>
                <w:sz w:val="15"/>
              </w:rPr>
              <w:t>Governance advisory services and leadership transitions</w:t>
            </w:r>
            <w:r>
              <w:rPr>
                <w:rFonts w:ascii="Times New Roman" w:hAnsi="Times New Roman"/>
                <w:color w:val="000000"/>
                <w:sz w:val="15"/>
              </w:rPr>
              <w:t> </w:t>
            </w:r>
            <w:r>
              <w:rPr>
                <w:rFonts w:ascii="Onest;sans-serif" w:hAnsi="Onest;sans-serif"/>
                <w:color w:val="000000"/>
                <w:sz w:val="10"/>
              </w:rPr>
              <w:t>(i)</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0.27</w:t>
            </w:r>
          </w:p>
        </w:tc>
        <w:tc>
          <w:tcPr>
            <w:tcW w:w="2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NM</w:t>
            </w:r>
          </w:p>
        </w:tc>
        <w:tc>
          <w:tcPr>
            <w:tcW w:w="6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r>
      <w:tr>
        <w:trPr/>
        <w:tc>
          <w:tcPr>
            <w:tcW w:w="49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sz w:val="15"/>
              </w:rPr>
            </w:pPr>
            <w:r>
              <w:rPr>
                <w:rFonts w:ascii="Onest;sans-serif" w:hAnsi="Onest;sans-serif"/>
                <w:color w:val="000000"/>
                <w:sz w:val="15"/>
              </w:rPr>
              <w:t xml:space="preserve">Diluted EPS from continuing operations before charges/(gains) </w:t>
            </w:r>
            <w:r>
              <w:rPr>
                <w:rFonts w:ascii="Onest;sans-serif" w:hAnsi="Onest;sans-serif"/>
                <w:color w:val="000000"/>
                <w:sz w:val="10"/>
              </w:rPr>
              <w:t>(d)</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0.53</w:t>
            </w:r>
          </w:p>
        </w:tc>
        <w:tc>
          <w:tcPr>
            <w:tcW w:w="2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0.66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(19.7</w:t>
            </w:r>
          </w:p>
        </w:tc>
        <w:tc>
          <w:tcPr>
            <w:tcW w:w="6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r>
    </w:tbl>
    <w:p>
      <w:pPr>
        <w:pStyle w:val="TextBody"/>
        <w:bidi w:val="0"/>
        <w:jc w:val="left"/>
        <w:rPr/>
      </w:pPr>
      <w:r>
        <w:rPr/>
        <w:t> </w:t>
      </w:r>
    </w:p>
    <w:p>
      <w:pPr>
        <w:pStyle w:val="TextBody"/>
        <w:bidi w:val="0"/>
        <w:jc w:val="left"/>
        <w:rPr>
          <w:rFonts w:ascii="Onest;sans-serif" w:hAnsi="Onest;sans-serif"/>
          <w:color w:val="000000"/>
          <w:sz w:val="16"/>
        </w:rPr>
      </w:pPr>
      <w:r>
        <w:rPr>
          <w:rFonts w:ascii="Onest;sans-serif" w:hAnsi="Onest;sans-serif"/>
          <w:color w:val="000000"/>
          <w:sz w:val="16"/>
        </w:rPr>
        <w:t>(d) (g) (i) For definitions of Non-GAAP measures, see Definitions of Terms page</w:t>
      </w:r>
    </w:p>
    <w:p>
      <w:pPr>
        <w:pStyle w:val="TextBody"/>
        <w:bidi w:val="0"/>
        <w:spacing w:before="120" w:after="283"/>
        <w:jc w:val="left"/>
        <w:rPr>
          <w:rFonts w:ascii="Onest;sans-serif" w:hAnsi="Onest;sans-serif"/>
          <w:color w:val="000000"/>
          <w:sz w:val="16"/>
        </w:rPr>
      </w:pPr>
      <w:r>
        <w:rPr>
          <w:rFonts w:ascii="Onest;sans-serif" w:hAnsi="Onest;sans-serif"/>
          <w:color w:val="000000"/>
          <w:sz w:val="16"/>
        </w:rPr>
        <w:t>NM = Not meaningful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Onest;sans-serif" w:hAnsi="Onest;sans-serif"/>
          <w:b/>
          <w:color w:val="000000"/>
          <w:sz w:val="20"/>
        </w:rPr>
      </w:pPr>
      <w:r>
        <w:rPr>
          <w:rFonts w:ascii="Onest;sans-serif" w:hAnsi="Onest;sans-serif"/>
          <w:b/>
          <w:color w:val="000000"/>
          <w:sz w:val="20"/>
        </w:rPr>
        <w:t>FORTUNE BRANDS INNOVATIONS, INC.</w:t>
      </w:r>
    </w:p>
    <w:p>
      <w:pPr>
        <w:pStyle w:val="TextBody"/>
        <w:bidi w:val="0"/>
        <w:jc w:val="left"/>
        <w:rPr>
          <w:rFonts w:ascii="Onest;sans-serif" w:hAnsi="Onest;sans-serif"/>
          <w:b/>
          <w:color w:val="000000"/>
          <w:sz w:val="20"/>
        </w:rPr>
      </w:pPr>
      <w:r>
        <w:rPr>
          <w:rFonts w:ascii="Onest;sans-serif" w:hAnsi="Onest;sans-serif"/>
          <w:b/>
          <w:color w:val="000000"/>
          <w:sz w:val="20"/>
        </w:rPr>
        <w:t>OPERATING MARGIN TO OPERATING MARGIN BEFORE CHARGES/GAINS</w:t>
      </w:r>
    </w:p>
    <w:p>
      <w:pPr>
        <w:pStyle w:val="TextBody"/>
        <w:bidi w:val="0"/>
        <w:jc w:val="left"/>
        <w:rPr>
          <w:rFonts w:ascii="Onest;sans-serif" w:hAnsi="Onest;sans-serif"/>
          <w:i/>
          <w:color w:val="000000"/>
          <w:sz w:val="20"/>
        </w:rPr>
      </w:pPr>
      <w:r>
        <w:rPr>
          <w:rFonts w:ascii="Onest;sans-serif" w:hAnsi="Onest;sans-serif"/>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56"/>
        <w:gridCol w:w="286"/>
        <w:gridCol w:w="146"/>
        <w:gridCol w:w="1617"/>
        <w:gridCol w:w="1617"/>
        <w:gridCol w:w="1183"/>
      </w:tblGrid>
      <w:tr>
        <w:trPr/>
        <w:tc>
          <w:tcPr>
            <w:tcW w:w="53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34" w:type="dxa"/>
            <w:gridSpan w:val="2"/>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rFonts w:ascii="Onest;sans-serif" w:hAnsi="Onest;sans-serif"/>
                <w:b/>
                <w:color w:val="000000"/>
                <w:sz w:val="18"/>
              </w:rPr>
            </w:pPr>
            <w:r>
              <w:rPr>
                <w:rFonts w:ascii="Onest;sans-serif" w:hAnsi="Onest;sans-serif"/>
                <w:b/>
                <w:color w:val="000000"/>
                <w:sz w:val="18"/>
              </w:rPr>
              <w:t>Thirteen Weeks Period</w:t>
            </w:r>
          </w:p>
        </w:tc>
        <w:tc>
          <w:tcPr>
            <w:tcW w:w="1183"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lef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6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8"/>
              </w:rPr>
            </w:pPr>
            <w:r>
              <w:rPr>
                <w:rFonts w:ascii="Onest;sans-serif" w:hAnsi="Onest;sans-serif"/>
                <w:b/>
                <w:color w:val="000000"/>
                <w:sz w:val="18"/>
              </w:rPr>
              <w:t>March 28, 2026</w:t>
            </w:r>
          </w:p>
        </w:tc>
        <w:tc>
          <w:tcPr>
            <w:tcW w:w="16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8"/>
              </w:rPr>
            </w:pPr>
            <w:r>
              <w:rPr>
                <w:rFonts w:ascii="Onest;sans-serif" w:hAnsi="Onest;sans-serif"/>
                <w:b/>
                <w:color w:val="000000"/>
                <w:sz w:val="18"/>
              </w:rPr>
              <w:t>March 29, 2025</w:t>
            </w:r>
          </w:p>
        </w:tc>
        <w:tc>
          <w:tcPr>
            <w:tcW w:w="118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8"/>
              </w:rPr>
            </w:pPr>
            <w:r>
              <w:rPr>
                <w:rFonts w:ascii="Onest;sans-serif" w:hAnsi="Onest;sans-serif"/>
                <w:b/>
                <w:color w:val="000000"/>
                <w:sz w:val="18"/>
              </w:rPr>
              <w:t>Change</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WATER</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Onest;sans-serif" w:hAnsi="Onest;sans-serif"/>
                <w:b/>
                <w:color w:val="000000"/>
                <w:sz w:val="18"/>
              </w:rPr>
              <w:t>Operating margin</w:t>
            </w:r>
            <w:r>
              <w:rPr>
                <w:rFonts w:ascii="Times New Roman" w:hAnsi="Times New Roman"/>
                <w:color w:val="000000"/>
                <w:sz w:val="18"/>
              </w:rPr>
              <w:t> </w:t>
            </w:r>
            <w:r>
              <w:rPr>
                <w:rFonts w:ascii="Onest;sans-serif" w:hAnsi="Onest;sans-serif"/>
                <w:b/>
                <w:color w:val="000000"/>
                <w:sz w:val="12"/>
              </w:rPr>
              <w:t>(e)</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6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18.4%</w:t>
            </w:r>
          </w:p>
        </w:tc>
        <w:tc>
          <w:tcPr>
            <w:tcW w:w="16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18.3%</w:t>
            </w:r>
          </w:p>
        </w:tc>
        <w:tc>
          <w:tcPr>
            <w:tcW w:w="118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right"/>
              <w:rPr>
                <w:rFonts w:ascii="Onest;sans-serif" w:hAnsi="Onest;sans-serif"/>
                <w:color w:val="000000"/>
                <w:sz w:val="18"/>
              </w:rPr>
            </w:pPr>
            <w:r>
              <w:rPr>
                <w:rFonts w:ascii="Onest;sans-serif" w:hAnsi="Onest;sans-serif"/>
                <w:color w:val="000000"/>
                <w:sz w:val="18"/>
              </w:rPr>
              <w:t>10 bps</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8"/>
              </w:rPr>
            </w:pPr>
            <w:r>
              <w:rPr>
                <w:rFonts w:ascii="Onest;sans-serif" w:hAnsi="Onest;sans-serif"/>
                <w:color w:val="000000"/>
                <w:sz w:val="18"/>
              </w:rPr>
              <w:t>Restructuring charges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0.4%</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1.7%</w:t>
            </w:r>
          </w:p>
        </w:tc>
        <w:tc>
          <w:tcPr>
            <w:tcW w:w="1183"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Onest;sans-serif" w:hAnsi="Onest;sans-serif"/>
                <w:b/>
                <w:color w:val="000000"/>
                <w:sz w:val="18"/>
              </w:rPr>
              <w:t xml:space="preserve">Before charges/(gains) operating margin </w:t>
            </w:r>
            <w:r>
              <w:rPr>
                <w:rFonts w:ascii="Onest;sans-serif" w:hAnsi="Onest;sans-serif"/>
                <w:b/>
                <w:color w:val="000000"/>
                <w:sz w:val="12"/>
              </w:rPr>
              <w:t>(e)</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617"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18.8%</w:t>
            </w:r>
          </w:p>
        </w:tc>
        <w:tc>
          <w:tcPr>
            <w:tcW w:w="1617"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20.0%</w:t>
            </w:r>
          </w:p>
        </w:tc>
        <w:tc>
          <w:tcPr>
            <w:tcW w:w="1183"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right"/>
              <w:rPr>
                <w:rFonts w:ascii="Onest;sans-serif" w:hAnsi="Onest;sans-serif"/>
                <w:color w:val="000000"/>
                <w:sz w:val="18"/>
              </w:rPr>
            </w:pPr>
            <w:r>
              <w:rPr>
                <w:rFonts w:ascii="Onest;sans-serif" w:hAnsi="Onest;sans-serif"/>
                <w:color w:val="000000"/>
                <w:sz w:val="18"/>
              </w:rPr>
              <w:t>(120) bps</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OUTDOORS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Onest;sans-serif" w:hAnsi="Onest;sans-serif"/>
                <w:b/>
                <w:color w:val="000000"/>
                <w:sz w:val="18"/>
              </w:rPr>
              <w:t>Operating margin</w:t>
            </w:r>
            <w:r>
              <w:rPr>
                <w:rFonts w:ascii="Times New Roman" w:hAnsi="Times New Roman"/>
                <w:color w:val="000000"/>
                <w:sz w:val="18"/>
              </w:rPr>
              <w:t> </w:t>
            </w:r>
            <w:r>
              <w:rPr>
                <w:rFonts w:ascii="Onest;sans-serif" w:hAnsi="Onest;sans-serif"/>
                <w:b/>
                <w:color w:val="000000"/>
                <w:sz w:val="12"/>
              </w:rPr>
              <w:t>(e)</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6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5.9%</w:t>
            </w:r>
          </w:p>
        </w:tc>
        <w:tc>
          <w:tcPr>
            <w:tcW w:w="16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7.4%</w:t>
            </w:r>
          </w:p>
        </w:tc>
        <w:tc>
          <w:tcPr>
            <w:tcW w:w="118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right"/>
              <w:rPr>
                <w:rFonts w:ascii="Onest;sans-serif" w:hAnsi="Onest;sans-serif"/>
                <w:color w:val="000000"/>
                <w:sz w:val="18"/>
              </w:rPr>
            </w:pPr>
            <w:r>
              <w:rPr>
                <w:rFonts w:ascii="Onest;sans-serif" w:hAnsi="Onest;sans-serif"/>
                <w:color w:val="000000"/>
                <w:sz w:val="18"/>
              </w:rPr>
              <w:t>(150) bps</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8"/>
              </w:rPr>
            </w:pPr>
            <w:r>
              <w:rPr>
                <w:rFonts w:ascii="Onest;sans-serif" w:hAnsi="Onest;sans-serif"/>
                <w:color w:val="000000"/>
                <w:sz w:val="18"/>
              </w:rPr>
              <w:t>Restructuring charges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0.8%</w:t>
            </w:r>
          </w:p>
        </w:tc>
        <w:tc>
          <w:tcPr>
            <w:tcW w:w="118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righ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8"/>
              </w:rPr>
            </w:pPr>
            <w:r>
              <w:rPr>
                <w:rFonts w:ascii="Onest;sans-serif" w:hAnsi="Onest;sans-serif"/>
                <w:color w:val="000000"/>
                <w:sz w:val="18"/>
              </w:rPr>
              <w:t>Other charges/(gains)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18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8"/>
              </w:rPr>
            </w:pPr>
            <w:r>
              <w:rPr>
                <w:rFonts w:ascii="Onest;sans-serif" w:hAnsi="Onest;sans-serif"/>
                <w:color w:val="000000"/>
                <w:sz w:val="18"/>
              </w:rPr>
              <w:t>Cost of products sold</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0.4%</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1.9%</w:t>
            </w:r>
          </w:p>
        </w:tc>
        <w:tc>
          <w:tcPr>
            <w:tcW w:w="118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8"/>
              </w:rPr>
            </w:pPr>
            <w:r>
              <w:rPr>
                <w:rFonts w:ascii="Onest;sans-serif" w:hAnsi="Onest;sans-serif"/>
                <w:color w:val="000000"/>
                <w:sz w:val="18"/>
              </w:rPr>
              <w:t>Selling, general and administrative expenses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0.3%</w:t>
            </w:r>
          </w:p>
        </w:tc>
        <w:tc>
          <w:tcPr>
            <w:tcW w:w="118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righ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8"/>
              </w:rPr>
            </w:pPr>
            <w:r>
              <w:rPr>
                <w:rFonts w:ascii="Onest;sans-serif" w:hAnsi="Onest;sans-serif"/>
                <w:color w:val="000000"/>
                <w:sz w:val="18"/>
              </w:rPr>
              <w:t xml:space="preserve">Manufacturing facility fire </w:t>
            </w:r>
            <w:r>
              <w:rPr>
                <w:rFonts w:ascii="Onest;sans-serif" w:hAnsi="Onest;sans-serif"/>
                <w:color w:val="000000"/>
                <w:sz w:val="12"/>
              </w:rPr>
              <w:t>(g)</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6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1.2%</w:t>
            </w:r>
          </w:p>
        </w:tc>
        <w:tc>
          <w:tcPr>
            <w:tcW w:w="16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w:t>
            </w:r>
          </w:p>
        </w:tc>
        <w:tc>
          <w:tcPr>
            <w:tcW w:w="118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Onest;sans-serif" w:hAnsi="Onest;sans-serif"/>
                <w:b/>
                <w:color w:val="000000"/>
                <w:sz w:val="18"/>
              </w:rPr>
              <w:t xml:space="preserve">Before charges/(gains) operating margin </w:t>
            </w:r>
            <w:r>
              <w:rPr>
                <w:rFonts w:ascii="Onest;sans-serif" w:hAnsi="Onest;sans-serif"/>
                <w:b/>
                <w:color w:val="000000"/>
                <w:sz w:val="12"/>
              </w:rPr>
              <w:t>(e)</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6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7.4%</w:t>
            </w:r>
          </w:p>
        </w:tc>
        <w:tc>
          <w:tcPr>
            <w:tcW w:w="16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10.4%</w:t>
            </w:r>
          </w:p>
        </w:tc>
        <w:tc>
          <w:tcPr>
            <w:tcW w:w="118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Onest;sans-serif" w:hAnsi="Onest;sans-serif"/>
                <w:color w:val="000000"/>
                <w:sz w:val="18"/>
              </w:rPr>
            </w:pPr>
            <w:r>
              <w:rPr>
                <w:rFonts w:ascii="Onest;sans-serif" w:hAnsi="Onest;sans-serif"/>
                <w:color w:val="000000"/>
                <w:sz w:val="18"/>
              </w:rPr>
              <w:t>(300) bps</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SECURITY</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Onest;sans-serif" w:hAnsi="Onest;sans-serif"/>
                <w:b/>
                <w:color w:val="000000"/>
                <w:sz w:val="18"/>
              </w:rPr>
              <w:t>Operating margin</w:t>
            </w:r>
            <w:r>
              <w:rPr>
                <w:rFonts w:ascii="Times New Roman" w:hAnsi="Times New Roman"/>
                <w:color w:val="000000"/>
                <w:sz w:val="18"/>
              </w:rPr>
              <w:t> </w:t>
            </w:r>
            <w:r>
              <w:rPr>
                <w:rFonts w:ascii="Onest;sans-serif" w:hAnsi="Onest;sans-serif"/>
                <w:b/>
                <w:color w:val="000000"/>
                <w:sz w:val="12"/>
              </w:rPr>
              <w:t>(e)</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6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14.2%</w:t>
            </w:r>
          </w:p>
        </w:tc>
        <w:tc>
          <w:tcPr>
            <w:tcW w:w="16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9.8%</w:t>
            </w:r>
          </w:p>
        </w:tc>
        <w:tc>
          <w:tcPr>
            <w:tcW w:w="118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right"/>
              <w:rPr>
                <w:rFonts w:ascii="Onest;sans-serif" w:hAnsi="Onest;sans-serif"/>
                <w:color w:val="000000"/>
                <w:sz w:val="18"/>
              </w:rPr>
            </w:pPr>
            <w:r>
              <w:rPr>
                <w:rFonts w:ascii="Onest;sans-serif" w:hAnsi="Onest;sans-serif"/>
                <w:color w:val="000000"/>
                <w:sz w:val="18"/>
              </w:rPr>
              <w:t>440 bps</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8"/>
              </w:rPr>
            </w:pPr>
            <w:r>
              <w:rPr>
                <w:rFonts w:ascii="Onest;sans-serif" w:hAnsi="Onest;sans-serif"/>
                <w:color w:val="000000"/>
                <w:sz w:val="18"/>
              </w:rPr>
              <w:t>Restructuring charges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0.1%</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2.4%</w:t>
            </w:r>
          </w:p>
        </w:tc>
        <w:tc>
          <w:tcPr>
            <w:tcW w:w="118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righ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8"/>
              </w:rPr>
            </w:pPr>
            <w:r>
              <w:rPr>
                <w:rFonts w:ascii="Onest;sans-serif" w:hAnsi="Onest;sans-serif"/>
                <w:color w:val="000000"/>
                <w:sz w:val="18"/>
              </w:rPr>
              <w:t>Other charges/(gains)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18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8"/>
              </w:rPr>
            </w:pPr>
            <w:r>
              <w:rPr>
                <w:rFonts w:ascii="Onest;sans-serif" w:hAnsi="Onest;sans-serif"/>
                <w:color w:val="000000"/>
                <w:sz w:val="18"/>
              </w:rPr>
              <w:t>Cost of products sold</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2.0%</w:t>
            </w:r>
          </w:p>
        </w:tc>
        <w:tc>
          <w:tcPr>
            <w:tcW w:w="118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8"/>
              </w:rPr>
            </w:pPr>
            <w:r>
              <w:rPr>
                <w:rFonts w:ascii="Onest;sans-serif" w:hAnsi="Onest;sans-serif"/>
                <w:color w:val="000000"/>
                <w:sz w:val="18"/>
              </w:rPr>
              <w:t>Selling, general and administrative expenses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(0.1%)</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w:t>
            </w:r>
          </w:p>
        </w:tc>
        <w:tc>
          <w:tcPr>
            <w:tcW w:w="1183"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Onest;sans-serif" w:hAnsi="Onest;sans-serif"/>
                <w:b/>
                <w:color w:val="000000"/>
                <w:sz w:val="18"/>
              </w:rPr>
              <w:t xml:space="preserve">Before charges/(gains) operating margin </w:t>
            </w:r>
            <w:r>
              <w:rPr>
                <w:rFonts w:ascii="Onest;sans-serif" w:hAnsi="Onest;sans-serif"/>
                <w:b/>
                <w:color w:val="000000"/>
                <w:sz w:val="12"/>
              </w:rPr>
              <w:t>(e)</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617"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14.2%</w:t>
            </w:r>
          </w:p>
        </w:tc>
        <w:tc>
          <w:tcPr>
            <w:tcW w:w="1617"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14.2%</w:t>
            </w:r>
          </w:p>
        </w:tc>
        <w:tc>
          <w:tcPr>
            <w:tcW w:w="1183"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right"/>
              <w:rPr>
                <w:rFonts w:ascii="Onest;sans-serif" w:hAnsi="Onest;sans-serif"/>
                <w:color w:val="000000"/>
                <w:sz w:val="18"/>
              </w:rPr>
            </w:pPr>
            <w:r>
              <w:rPr>
                <w:rFonts w:ascii="Onest;sans-serif" w:hAnsi="Onest;sans-serif"/>
                <w:color w:val="000000"/>
                <w:sz w:val="18"/>
              </w:rPr>
              <w:t>0 bps</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TOTAL COMPANY</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Onest;sans-serif" w:hAnsi="Onest;sans-serif"/>
                <w:b/>
                <w:color w:val="000000"/>
                <w:sz w:val="18"/>
              </w:rPr>
              <w:t>Operating margin</w:t>
            </w:r>
            <w:r>
              <w:rPr>
                <w:rFonts w:ascii="Times New Roman" w:hAnsi="Times New Roman"/>
                <w:color w:val="000000"/>
                <w:sz w:val="18"/>
              </w:rPr>
              <w:t> </w:t>
            </w:r>
            <w:r>
              <w:rPr>
                <w:rFonts w:ascii="Onest;sans-serif" w:hAnsi="Onest;sans-serif"/>
                <w:b/>
                <w:color w:val="000000"/>
                <w:sz w:val="12"/>
              </w:rPr>
              <w:t>(e)</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6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6.0%</w:t>
            </w:r>
          </w:p>
        </w:tc>
        <w:tc>
          <w:tcPr>
            <w:tcW w:w="16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9.4%</w:t>
            </w:r>
          </w:p>
        </w:tc>
        <w:tc>
          <w:tcPr>
            <w:tcW w:w="118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right"/>
              <w:rPr>
                <w:rFonts w:ascii="Onest;sans-serif" w:hAnsi="Onest;sans-serif"/>
                <w:color w:val="000000"/>
                <w:sz w:val="18"/>
              </w:rPr>
            </w:pPr>
            <w:r>
              <w:rPr>
                <w:rFonts w:ascii="Onest;sans-serif" w:hAnsi="Onest;sans-serif"/>
                <w:color w:val="000000"/>
                <w:sz w:val="18"/>
              </w:rPr>
              <w:t>(340) bps</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8"/>
              </w:rPr>
            </w:pPr>
            <w:r>
              <w:rPr>
                <w:rFonts w:ascii="Onest;sans-serif" w:hAnsi="Onest;sans-serif"/>
                <w:color w:val="000000"/>
                <w:sz w:val="18"/>
              </w:rPr>
              <w:t>Restructuring charges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0.4%</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2.3%</w:t>
            </w:r>
          </w:p>
        </w:tc>
        <w:tc>
          <w:tcPr>
            <w:tcW w:w="118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righ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8"/>
              </w:rPr>
            </w:pPr>
            <w:r>
              <w:rPr>
                <w:rFonts w:ascii="Onest;sans-serif" w:hAnsi="Onest;sans-serif"/>
                <w:color w:val="000000"/>
                <w:sz w:val="18"/>
              </w:rPr>
              <w:t>Other charges/(gains)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18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8"/>
              </w:rPr>
            </w:pPr>
            <w:r>
              <w:rPr>
                <w:rFonts w:ascii="Onest;sans-serif" w:hAnsi="Onest;sans-serif"/>
                <w:color w:val="000000"/>
                <w:sz w:val="18"/>
              </w:rPr>
              <w:t>Cost of products sold</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0.1%</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0.9%</w:t>
            </w:r>
          </w:p>
        </w:tc>
        <w:tc>
          <w:tcPr>
            <w:tcW w:w="118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8"/>
              </w:rPr>
            </w:pPr>
            <w:r>
              <w:rPr>
                <w:rFonts w:ascii="Onest;sans-serif" w:hAnsi="Onest;sans-serif"/>
                <w:color w:val="000000"/>
                <w:sz w:val="18"/>
              </w:rPr>
              <w:t>Selling, general and administrative expenses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0.1%</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0.5%</w:t>
            </w:r>
          </w:p>
        </w:tc>
        <w:tc>
          <w:tcPr>
            <w:tcW w:w="118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righ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8"/>
              </w:rPr>
            </w:pPr>
            <w:r>
              <w:rPr>
                <w:rFonts w:ascii="Onest;sans-serif" w:hAnsi="Onest;sans-serif"/>
                <w:color w:val="000000"/>
                <w:sz w:val="18"/>
              </w:rPr>
              <w:t xml:space="preserve">Manufacturing facility fire </w:t>
            </w:r>
            <w:r>
              <w:rPr>
                <w:rFonts w:ascii="Onest;sans-serif" w:hAnsi="Onest;sans-serif"/>
                <w:color w:val="000000"/>
                <w:sz w:val="12"/>
              </w:rPr>
              <w:t>(g)</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0.4%</w:t>
            </w:r>
          </w:p>
        </w:tc>
        <w:tc>
          <w:tcPr>
            <w:tcW w:w="161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w:t>
            </w:r>
          </w:p>
        </w:tc>
        <w:tc>
          <w:tcPr>
            <w:tcW w:w="118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righ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8"/>
              </w:rPr>
            </w:pPr>
            <w:r>
              <w:rPr>
                <w:rFonts w:ascii="Onest;sans-serif" w:hAnsi="Onest;sans-serif"/>
                <w:color w:val="000000"/>
                <w:sz w:val="18"/>
              </w:rPr>
              <w:t>Governance advisory services and leadership transitions</w:t>
            </w:r>
            <w:r>
              <w:rPr>
                <w:rFonts w:ascii="Times New Roman" w:hAnsi="Times New Roman"/>
                <w:color w:val="000000"/>
                <w:sz w:val="18"/>
              </w:rPr>
              <w:t> </w:t>
            </w:r>
            <w:r>
              <w:rPr>
                <w:rFonts w:ascii="Onest;sans-serif" w:hAnsi="Onest;sans-serif"/>
                <w:color w:val="000000"/>
                <w:sz w:val="12"/>
              </w:rPr>
              <w:t>(i)</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6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4.2%</w:t>
            </w:r>
          </w:p>
        </w:tc>
        <w:tc>
          <w:tcPr>
            <w:tcW w:w="16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w:t>
            </w:r>
          </w:p>
        </w:tc>
        <w:tc>
          <w:tcPr>
            <w:tcW w:w="118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Onest;sans-serif" w:hAnsi="Onest;sans-serif"/>
                <w:b/>
                <w:color w:val="000000"/>
                <w:sz w:val="18"/>
              </w:rPr>
              <w:t xml:space="preserve">Before charges/(gains) operating margin </w:t>
            </w:r>
            <w:r>
              <w:rPr>
                <w:rFonts w:ascii="Onest;sans-serif" w:hAnsi="Onest;sans-serif"/>
                <w:b/>
                <w:color w:val="000000"/>
                <w:sz w:val="12"/>
              </w:rPr>
              <w:t>(e)</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6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11.1%</w:t>
            </w:r>
          </w:p>
        </w:tc>
        <w:tc>
          <w:tcPr>
            <w:tcW w:w="16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8"/>
              </w:rPr>
            </w:pPr>
            <w:r>
              <w:rPr>
                <w:rFonts w:ascii="Onest;sans-serif" w:hAnsi="Onest;sans-serif"/>
                <w:color w:val="000000"/>
                <w:sz w:val="18"/>
              </w:rPr>
              <w:t>13.1%</w:t>
            </w:r>
          </w:p>
        </w:tc>
        <w:tc>
          <w:tcPr>
            <w:tcW w:w="118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Onest;sans-serif" w:hAnsi="Onest;sans-serif"/>
                <w:color w:val="000000"/>
                <w:sz w:val="18"/>
              </w:rPr>
            </w:pPr>
            <w:r>
              <w:rPr>
                <w:rFonts w:ascii="Onest;sans-serif" w:hAnsi="Onest;sans-serif"/>
                <w:color w:val="000000"/>
                <w:sz w:val="18"/>
              </w:rPr>
              <w:t>(200) bps</w:t>
            </w:r>
          </w:p>
        </w:tc>
      </w:tr>
    </w:tbl>
    <w:p>
      <w:pPr>
        <w:pStyle w:val="TextBody"/>
        <w:bidi w:val="0"/>
        <w:jc w:val="left"/>
        <w:rPr/>
      </w:pPr>
      <w:r>
        <w:rPr/>
        <w:t> </w:t>
      </w:r>
    </w:p>
    <w:p>
      <w:pPr>
        <w:pStyle w:val="TextBody"/>
        <w:bidi w:val="0"/>
        <w:jc w:val="left"/>
        <w:rPr>
          <w:rFonts w:ascii="Onest;sans-serif" w:hAnsi="Onest;sans-serif"/>
          <w:color w:val="000000"/>
          <w:sz w:val="16"/>
        </w:rPr>
      </w:pPr>
      <w:r>
        <w:rPr>
          <w:rFonts w:ascii="Onest;sans-serif" w:hAnsi="Onest;sans-serif"/>
          <w:color w:val="000000"/>
          <w:sz w:val="16"/>
        </w:rPr>
        <w:t>(e) (g) (i) For definitions of Non-GAAP measures, see Definitions of Terms page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Onest;sans-serif" w:hAnsi="Onest;sans-serif"/>
          <w:b/>
          <w:color w:val="000000"/>
          <w:sz w:val="20"/>
        </w:rPr>
      </w:pPr>
      <w:r>
        <w:rPr>
          <w:rFonts w:ascii="Onest;sans-serif" w:hAnsi="Onest;sans-serif"/>
          <w:b/>
          <w:color w:val="000000"/>
          <w:sz w:val="20"/>
        </w:rPr>
        <w:t>FORTUNE BRANDS INNOVATIONS, INC.</w:t>
      </w:r>
    </w:p>
    <w:p>
      <w:pPr>
        <w:pStyle w:val="TextBody"/>
        <w:bidi w:val="0"/>
        <w:jc w:val="left"/>
        <w:rPr>
          <w:rFonts w:ascii="Onest;sans-serif" w:hAnsi="Onest;sans-serif"/>
          <w:b/>
          <w:color w:val="000000"/>
          <w:sz w:val="20"/>
        </w:rPr>
      </w:pPr>
      <w:r>
        <w:rPr>
          <w:rFonts w:ascii="Onest;sans-serif" w:hAnsi="Onest;sans-serif"/>
          <w:b/>
          <w:color w:val="000000"/>
          <w:sz w:val="20"/>
        </w:rPr>
        <w:t>RECONCILIATION OF GAAP NET SALES TO NET SALES EXCLUDING THE IMPACT OF CHINA SALES</w:t>
      </w:r>
    </w:p>
    <w:p>
      <w:pPr>
        <w:pStyle w:val="TextBody"/>
        <w:bidi w:val="0"/>
        <w:jc w:val="left"/>
        <w:rPr>
          <w:rFonts w:ascii="Onest;sans-serif" w:hAnsi="Onest;sans-serif"/>
          <w:i/>
          <w:color w:val="000000"/>
          <w:sz w:val="20"/>
        </w:rPr>
      </w:pPr>
      <w:r>
        <w:rPr>
          <w:rFonts w:ascii="Onest;sans-serif" w:hAnsi="Onest;sans-serif"/>
          <w:i/>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36"/>
        <w:gridCol w:w="146"/>
        <w:gridCol w:w="6623"/>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3"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623"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rFonts w:ascii="Onest;sans-serif" w:hAnsi="Onest;sans-serif"/>
                <w:b/>
                <w:color w:val="000000"/>
                <w:sz w:val="18"/>
              </w:rPr>
            </w:pPr>
            <w:r>
              <w:rPr>
                <w:rFonts w:ascii="Onest;sans-serif" w:hAnsi="Onest;sans-serif"/>
                <w:b/>
                <w:color w:val="000000"/>
                <w:sz w:val="18"/>
              </w:rPr>
              <w:t>Thirteen Weeks Ended March 28, 2026 vs Thirteen Weeks Ended March 29, 2025</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62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8"/>
              </w:rPr>
            </w:pPr>
            <w:r>
              <w:rPr>
                <w:rFonts w:ascii="Onest;sans-serif" w:hAnsi="Onest;sans-serif"/>
                <w:b/>
                <w:color w:val="000000"/>
                <w:sz w:val="18"/>
              </w:rPr>
              <w:t>% Change</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Water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Percentage change in net sales (GAAP)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62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center"/>
              <w:rPr>
                <w:rFonts w:ascii="Onest;sans-serif" w:hAnsi="Onest;sans-serif"/>
                <w:b/>
                <w:color w:val="000000"/>
                <w:sz w:val="18"/>
              </w:rPr>
            </w:pPr>
            <w:r>
              <w:rPr>
                <w:rFonts w:ascii="Onest;sans-serif" w:hAnsi="Onest;sans-serif"/>
                <w:b/>
                <w:color w:val="000000"/>
                <w:sz w:val="18"/>
              </w:rPr>
              <w:t>(0.3%)</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8"/>
              </w:rPr>
            </w:pPr>
            <w:r>
              <w:rPr>
                <w:rFonts w:ascii="Onest;sans-serif" w:hAnsi="Onest;sans-serif"/>
                <w:color w:val="000000"/>
                <w:sz w:val="18"/>
              </w:rPr>
              <w:t>Excluding China sales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62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8"/>
              </w:rPr>
            </w:pPr>
            <w:r>
              <w:rPr>
                <w:rFonts w:ascii="Onest;sans-serif" w:hAnsi="Onest;sans-serif"/>
                <w:b/>
                <w:color w:val="000000"/>
                <w:sz w:val="18"/>
              </w:rPr>
              <w:t>1.8%</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Onest;sans-serif" w:hAnsi="Onest;sans-serif"/>
                <w:b/>
                <w:color w:val="000000"/>
                <w:sz w:val="18"/>
              </w:rPr>
              <w:t>Net sales excluding impact of China</w:t>
            </w:r>
            <w:r>
              <w:rPr>
                <w:rFonts w:ascii="Times New Roman" w:hAnsi="Times New Roman"/>
                <w:color w:val="000000"/>
                <w:sz w:val="18"/>
              </w:rPr>
              <w:t> </w:t>
            </w:r>
            <w:r>
              <w:rPr>
                <w:rFonts w:ascii="Onest;sans-serif" w:hAnsi="Onest;sans-serif"/>
                <w:b/>
                <w:color w:val="000000"/>
                <w:sz w:val="12"/>
              </w:rPr>
              <w:t>(j)</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62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8"/>
              </w:rPr>
            </w:pPr>
            <w:r>
              <w:rPr>
                <w:rFonts w:ascii="Onest;sans-serif" w:hAnsi="Onest;sans-serif"/>
                <w:b/>
                <w:color w:val="000000"/>
                <w:sz w:val="18"/>
              </w:rPr>
              <w:t>1.5%</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623" w:type="dxa"/>
            <w:tcBorders>
              <w:bottom w:val="single" w:sz="4" w:space="0" w:color="000000"/>
              <w:right w:val="single" w:sz="4" w:space="0" w:color="000000"/>
            </w:tcBorders>
            <w:shd w:fill="BFBFBF" w:val="clear"/>
            <w:tcMar>
              <w:top w:w="0" w:type="dxa"/>
              <w:left w:w="0" w:type="dxa"/>
            </w:tcMar>
            <w:vAlign w:val="center"/>
          </w:tcPr>
          <w:p>
            <w:pPr>
              <w:pStyle w:val="TableContents"/>
              <w:bidi w:val="0"/>
              <w:spacing w:before="0" w:after="283"/>
              <w:jc w:val="center"/>
              <w:rPr>
                <w:rFonts w:ascii="Onest;sans-serif" w:hAnsi="Onest;sans-serif"/>
                <w:b/>
                <w:color w:val="000000"/>
                <w:sz w:val="18"/>
              </w:rPr>
            </w:pPr>
            <w:r>
              <w:rPr>
                <w:rFonts w:ascii="Onest;sans-serif" w:hAnsi="Onest;sans-serif"/>
                <w:b/>
                <w:color w:val="000000"/>
                <w:sz w:val="18"/>
              </w:rPr>
              <w:t>Thirteen Weeks Ended March 28, 2026 vs Thirteen Weeks Ended March 29, 2025</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62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8"/>
              </w:rPr>
            </w:pPr>
            <w:r>
              <w:rPr>
                <w:rFonts w:ascii="Onest;sans-serif" w:hAnsi="Onest;sans-serif"/>
                <w:b/>
                <w:color w:val="000000"/>
                <w:sz w:val="18"/>
              </w:rPr>
              <w:t>% Change</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Total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Percentage change in net sales (GAAP)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62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center"/>
              <w:rPr>
                <w:rFonts w:ascii="Onest;sans-serif" w:hAnsi="Onest;sans-serif"/>
                <w:b/>
                <w:color w:val="000000"/>
                <w:sz w:val="18"/>
              </w:rPr>
            </w:pPr>
            <w:r>
              <w:rPr>
                <w:rFonts w:ascii="Onest;sans-serif" w:hAnsi="Onest;sans-serif"/>
                <w:b/>
                <w:color w:val="000000"/>
                <w:sz w:val="18"/>
              </w:rPr>
              <w:t>(2.1%)</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8"/>
              </w:rPr>
            </w:pPr>
            <w:r>
              <w:rPr>
                <w:rFonts w:ascii="Onest;sans-serif" w:hAnsi="Onest;sans-serif"/>
                <w:color w:val="000000"/>
                <w:sz w:val="18"/>
              </w:rPr>
              <w:t>Excluding China sales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62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8"/>
              </w:rPr>
            </w:pPr>
            <w:r>
              <w:rPr>
                <w:rFonts w:ascii="Onest;sans-serif" w:hAnsi="Onest;sans-serif"/>
                <w:b/>
                <w:color w:val="000000"/>
                <w:sz w:val="18"/>
              </w:rPr>
              <w:t>0.9%</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Onest;sans-serif" w:hAnsi="Onest;sans-serif"/>
                <w:b/>
                <w:color w:val="000000"/>
                <w:sz w:val="18"/>
              </w:rPr>
              <w:t>Net sales excluding impact of China</w:t>
            </w:r>
            <w:r>
              <w:rPr>
                <w:rFonts w:ascii="Times New Roman" w:hAnsi="Times New Roman"/>
                <w:color w:val="000000"/>
                <w:sz w:val="18"/>
              </w:rPr>
              <w:t> </w:t>
            </w:r>
            <w:r>
              <w:rPr>
                <w:rFonts w:ascii="Onest;sans-serif" w:hAnsi="Onest;sans-serif"/>
                <w:b/>
                <w:color w:val="000000"/>
                <w:sz w:val="12"/>
              </w:rPr>
              <w:t>(j)</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62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8"/>
              </w:rPr>
            </w:pPr>
            <w:r>
              <w:rPr>
                <w:rFonts w:ascii="Onest;sans-serif" w:hAnsi="Onest;sans-serif"/>
                <w:b/>
                <w:color w:val="000000"/>
                <w:sz w:val="18"/>
              </w:rPr>
              <w:t>(1.2%)</w:t>
            </w:r>
          </w:p>
        </w:tc>
      </w:tr>
    </w:tbl>
    <w:p>
      <w:pPr>
        <w:pStyle w:val="TextBody"/>
        <w:bidi w:val="0"/>
        <w:jc w:val="left"/>
        <w:rPr/>
      </w:pPr>
      <w:r>
        <w:rPr/>
        <w:t> </w:t>
      </w:r>
    </w:p>
    <w:p>
      <w:pPr>
        <w:pStyle w:val="TextBody"/>
        <w:bidi w:val="0"/>
        <w:jc w:val="left"/>
        <w:rPr>
          <w:rFonts w:ascii="Onest;sans-serif" w:hAnsi="Onest;sans-serif"/>
          <w:color w:val="000000"/>
          <w:sz w:val="16"/>
        </w:rPr>
      </w:pPr>
      <w:r>
        <w:rPr>
          <w:rFonts w:ascii="Onest;sans-serif" w:hAnsi="Onest;sans-serif"/>
          <w:color w:val="000000"/>
          <w:sz w:val="16"/>
        </w:rPr>
        <w:t>(j) For definitions of Non-GAAP measures, see Definitions of Terms page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Onest;sans-serif" w:hAnsi="Onest;sans-serif"/>
          <w:b/>
          <w:color w:val="000000"/>
          <w:sz w:val="20"/>
        </w:rPr>
      </w:pPr>
      <w:r>
        <w:rPr>
          <w:rFonts w:ascii="Onest;sans-serif" w:hAnsi="Onest;sans-serif"/>
          <w:b/>
          <w:color w:val="000000"/>
          <w:sz w:val="20"/>
        </w:rPr>
        <w:t>Definitions of Terms: Non-GAAP Measures</w:t>
      </w:r>
    </w:p>
    <w:p>
      <w:pPr>
        <w:pStyle w:val="TextBody"/>
        <w:bidi w:val="0"/>
        <w:spacing w:before="200" w:after="283"/>
        <w:jc w:val="left"/>
        <w:rPr>
          <w:rFonts w:ascii="Onest;sans-serif" w:hAnsi="Onest;sans-serif"/>
          <w:color w:val="000000"/>
          <w:sz w:val="20"/>
        </w:rPr>
      </w:pPr>
      <w:r>
        <w:rPr>
          <w:rFonts w:ascii="Onest;sans-serif" w:hAnsi="Onest;sans-serif"/>
          <w:color w:val="000000"/>
          <w:sz w:val="20"/>
        </w:rPr>
        <w:t>(a) Operating income (loss) before charges/gains is calculated as operating income derived in accordance with GAAP, excluding restructuring and other charges/gains. Operating income (loss) before charges/gains is a measure not derived in accordance with GAAP. Management uses this measure to evaluate the returns generated by the Company and its business segments. Management believes this measure provides investors with helpful supplemental information regarding the underlying performance of the Company from period to period. This measure may be inconsistent with similar measures presented by other companies.</w:t>
      </w:r>
    </w:p>
    <w:p>
      <w:pPr>
        <w:pStyle w:val="TextBody"/>
        <w:bidi w:val="0"/>
        <w:spacing w:before="200" w:after="283"/>
        <w:jc w:val="left"/>
        <w:rPr>
          <w:rFonts w:ascii="Onest;sans-serif" w:hAnsi="Onest;sans-serif"/>
          <w:color w:val="000000"/>
          <w:sz w:val="20"/>
        </w:rPr>
      </w:pPr>
      <w:r>
        <w:rPr>
          <w:rFonts w:ascii="Onest;sans-serif" w:hAnsi="Onest;sans-serif"/>
          <w:color w:val="000000"/>
          <w:sz w:val="20"/>
        </w:rPr>
        <w:t>(b) Free cash flow is cash flow from operations calculated in accordance with U.S. generally accepted accounting principles ("GAAP") less capital expenditures. Free cash flow does not include adjustments for certain non-discretionary cash flows such as mandatory debt repayments. Free cash flow is a measure not derived in accordance with GAAP. Management believes that free cash flow provides investors with helpful supplemental information about the Company's ability to fund internal growth, make acquisitions, repay debt and related interest, pay dividends and repurchase common stock. This measure may be inconsistent with similar measures presented by other companies.</w:t>
      </w:r>
    </w:p>
    <w:p>
      <w:pPr>
        <w:pStyle w:val="TextBody"/>
        <w:bidi w:val="0"/>
        <w:spacing w:before="200" w:after="283"/>
        <w:jc w:val="left"/>
        <w:rPr>
          <w:rFonts w:ascii="Onest;sans-serif" w:hAnsi="Onest;sans-serif"/>
          <w:color w:val="000000"/>
          <w:sz w:val="20"/>
        </w:rPr>
      </w:pPr>
      <w:r>
        <w:rPr>
          <w:rFonts w:ascii="Onest;sans-serif" w:hAnsi="Onest;sans-serif"/>
          <w:color w:val="000000"/>
          <w:sz w:val="20"/>
        </w:rPr>
        <w:t>(c) EBITDA before charges/gains is calculated as income from continuing operations, net of tax in accordance with GAAP, excluding depreciation, amortization of intangible assets, restructuring and other charges/gains, interest expense and income taxes. EBITDA before charges/gains is a measure not derived in accordance with GAAP. Management uses this measure to assess returns generated by the Company. Management believes this measure provides investors with helpful supplemental information about the Company's ability to fund internal growth, make acquisitions and repay debt and related interest. This measure may be inconsistent with similar measures presented by other companies.</w:t>
      </w:r>
    </w:p>
    <w:p>
      <w:pPr>
        <w:pStyle w:val="TextBody"/>
        <w:bidi w:val="0"/>
        <w:spacing w:before="200" w:after="283"/>
        <w:jc w:val="left"/>
        <w:rPr>
          <w:rFonts w:ascii="Onest;sans-serif" w:hAnsi="Onest;sans-serif"/>
          <w:color w:val="000000"/>
          <w:sz w:val="20"/>
        </w:rPr>
      </w:pPr>
      <w:r>
        <w:rPr>
          <w:rFonts w:ascii="Onest;sans-serif" w:hAnsi="Onest;sans-serif"/>
          <w:color w:val="000000"/>
          <w:sz w:val="20"/>
        </w:rPr>
        <w:t>(d) Diluted earnings per share from continuing operations before charges/gains is calculated as income from continuing operations on a diluted per-share basis, excluding restructuring and other charges/gains. This measure is not in accordance with GAAP. Management uses this measure to evaluate the Company's overall performance and believes it provides investors with helpful supplemental information about the Company's underlying performance from period to period. However, this measure may not be consistent with similar measures presented by other companies.</w:t>
      </w:r>
    </w:p>
    <w:p>
      <w:pPr>
        <w:pStyle w:val="TextBody"/>
        <w:bidi w:val="0"/>
        <w:jc w:val="left"/>
        <w:rPr/>
      </w:pPr>
      <w:r>
        <w:rPr/>
        <w:t> </w:t>
      </w:r>
    </w:p>
    <w:p>
      <w:pPr>
        <w:pStyle w:val="TextBody"/>
        <w:bidi w:val="0"/>
        <w:jc w:val="left"/>
        <w:rPr>
          <w:rFonts w:ascii="Onest;sans-serif" w:hAnsi="Onest;sans-serif"/>
          <w:color w:val="000000"/>
          <w:sz w:val="20"/>
        </w:rPr>
      </w:pPr>
      <w:r>
        <w:rPr>
          <w:rFonts w:ascii="Onest;sans-serif" w:hAnsi="Onest;sans-serif"/>
          <w:color w:val="000000"/>
          <w:sz w:val="20"/>
        </w:rPr>
        <w:t>(e) Operating margin is calculated as the operating income in accordance with GAAP, divided by the GAAP net sales. The operating margin before charges/gains is calculated as the operating income, excluding restructuring and other charges/gains, divided by the GAAP net sales. The operating margin before charges/gains is not a measure derived in accordance with GAAP. Management uses this measure to evaluate the returns generated by the Company and its business segments. Management believes that this measure provides investors with helpful supplemental information about the Company's underlying performance from period to period. However, this measure may not be consistent with similar measures presented by other companies.</w:t>
      </w:r>
    </w:p>
    <w:p>
      <w:pPr>
        <w:pStyle w:val="TextBody"/>
        <w:bidi w:val="0"/>
        <w:jc w:val="left"/>
        <w:rPr/>
      </w:pPr>
      <w:r>
        <w:rPr/>
        <w:t> </w:t>
      </w:r>
    </w:p>
    <w:p>
      <w:pPr>
        <w:pStyle w:val="TextBody"/>
        <w:bidi w:val="0"/>
        <w:jc w:val="left"/>
        <w:rPr>
          <w:rFonts w:ascii="Onest;sans-serif" w:hAnsi="Onest;sans-serif"/>
          <w:color w:val="000000"/>
          <w:sz w:val="20"/>
        </w:rPr>
      </w:pPr>
      <w:r>
        <w:rPr>
          <w:rFonts w:ascii="Onest;sans-serif" w:hAnsi="Onest;sans-serif"/>
          <w:color w:val="000000"/>
          <w:sz w:val="20"/>
        </w:rPr>
        <w:t>(f) For the thirty-nine weeks ended December 27, 2025, impairment charges of $53.6 million were recorded related to the classification of certain assets to equal their fair value, less estimated costs to sell.</w:t>
      </w:r>
    </w:p>
    <w:p>
      <w:pPr>
        <w:pStyle w:val="TextBody"/>
        <w:bidi w:val="0"/>
        <w:jc w:val="left"/>
        <w:rPr/>
      </w:pPr>
      <w:r>
        <w:rPr/>
        <w:t> </w:t>
      </w:r>
    </w:p>
    <w:p>
      <w:pPr>
        <w:pStyle w:val="TextBody"/>
        <w:bidi w:val="0"/>
        <w:jc w:val="left"/>
        <w:rPr>
          <w:rFonts w:ascii="Onest;sans-serif" w:hAnsi="Onest;sans-serif"/>
          <w:color w:val="000000"/>
          <w:sz w:val="20"/>
        </w:rPr>
      </w:pPr>
      <w:r>
        <w:rPr>
          <w:rFonts w:ascii="Onest;sans-serif" w:hAnsi="Onest;sans-serif"/>
          <w:color w:val="000000"/>
          <w:sz w:val="20"/>
        </w:rPr>
        <w:t>(g) We recognized $3.5 million and $21.1 million of losses, net of probable insurance recoveries, related to a fire at one of our manufacturing facilities within the Outdoors segment for the thirteen weeks ended March 28, 2026 and thirty-nine weeks ended December 27, 2025.</w:t>
      </w:r>
    </w:p>
    <w:p>
      <w:pPr>
        <w:pStyle w:val="TextBody"/>
        <w:bidi w:val="0"/>
        <w:jc w:val="left"/>
        <w:rPr/>
      </w:pPr>
      <w:r>
        <w:rPr/>
        <w:t> </w:t>
      </w:r>
    </w:p>
    <w:p>
      <w:pPr>
        <w:pStyle w:val="TextBody"/>
        <w:bidi w:val="0"/>
        <w:jc w:val="left"/>
        <w:rPr>
          <w:rFonts w:ascii="Onest;sans-serif" w:hAnsi="Onest;sans-serif"/>
          <w:color w:val="000000"/>
          <w:sz w:val="20"/>
        </w:rPr>
      </w:pPr>
      <w:r>
        <w:rPr>
          <w:rFonts w:ascii="Onest;sans-serif" w:hAnsi="Onest;sans-serif"/>
          <w:color w:val="000000"/>
          <w:sz w:val="20"/>
        </w:rPr>
        <w:t>(h) For the thirty-nine weeks ended December 27, 2025, professional fees incurred related to ongoing transformation initiatives was $3.0 million at Corporate.</w:t>
      </w:r>
    </w:p>
    <w:p>
      <w:pPr>
        <w:pStyle w:val="TextBody"/>
        <w:bidi w:val="0"/>
        <w:jc w:val="left"/>
        <w:rPr/>
      </w:pPr>
      <w:r>
        <w:rPr/>
        <w:t> </w:t>
      </w:r>
    </w:p>
    <w:p>
      <w:pPr>
        <w:pStyle w:val="TextBody"/>
        <w:bidi w:val="0"/>
        <w:jc w:val="left"/>
        <w:rPr>
          <w:rFonts w:ascii="Onest;sans-serif" w:hAnsi="Onest;sans-serif"/>
          <w:color w:val="000000"/>
          <w:sz w:val="20"/>
        </w:rPr>
      </w:pPr>
      <w:r>
        <w:rPr>
          <w:rFonts w:ascii="Onest;sans-serif" w:hAnsi="Onest;sans-serif"/>
          <w:color w:val="000000"/>
          <w:sz w:val="20"/>
        </w:rPr>
        <w:t>(i) For the thirteen weeks ended March 28, 2026, the Company incurred charges of $42.4 million associated with governance advisory services and leadership transitions.</w:t>
      </w:r>
    </w:p>
    <w:p>
      <w:pPr>
        <w:pStyle w:val="TextBody"/>
        <w:bidi w:val="0"/>
        <w:jc w:val="left"/>
        <w:rPr/>
      </w:pPr>
      <w:r>
        <w:rPr/>
        <w:t> </w:t>
      </w:r>
    </w:p>
    <w:p>
      <w:pPr>
        <w:pStyle w:val="TextBody"/>
        <w:bidi w:val="0"/>
        <w:jc w:val="left"/>
        <w:rPr>
          <w:rFonts w:ascii="Times New Roman" w:hAnsi="Times New Roman"/>
          <w:sz w:val="20"/>
        </w:rPr>
      </w:pPr>
      <w:r>
        <w:rPr>
          <w:rFonts w:ascii="Onest;sans-serif" w:hAnsi="Onest;sans-serif"/>
          <w:color w:val="000000"/>
          <w:sz w:val="20"/>
        </w:rPr>
        <w:t>(j) Net sales excluding the impact of China sales is net sales derived in accordance with GAAP excluding the impact of China sales. Management uses this measure to evaluate the overall performance of its segments and believes this measure provides investors with helpful supplemental information regarding the underlying performance of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Onest;sans-serif" w:hAnsi="Onest;sans-serif"/>
          <w:color w:val="000000"/>
          <w:sz w:val="20"/>
        </w:rPr>
      </w:pPr>
      <w:r>
        <w:rPr>
          <w:rFonts w:ascii="Onest;sans-serif" w:hAnsi="Onest;sans-serif"/>
          <w:color w:val="000000"/>
          <w:sz w:val="20"/>
        </w:rPr>
        <w:t>Company and its reportable segments from period to period. This measure may be inconsistent with similar measures presented by other companies.</w:t>
      </w:r>
    </w:p>
    <w:p>
      <w:pPr>
        <w:pStyle w:val="TextBody"/>
        <w:bidi w:val="0"/>
        <w:spacing w:before="200" w:after="283"/>
        <w:jc w:val="left"/>
        <w:rPr>
          <w:rFonts w:ascii="Onest;sans-serif" w:hAnsi="Onest;sans-serif"/>
          <w:b/>
          <w:color w:val="000000"/>
          <w:sz w:val="20"/>
        </w:rPr>
      </w:pPr>
      <w:r>
        <w:rPr>
          <w:rFonts w:ascii="Onest;sans-serif" w:hAnsi="Onest;sans-serif"/>
          <w:b/>
          <w:color w:val="000000"/>
          <w:sz w:val="20"/>
        </w:rPr>
        <w:t>Additional Information:</w:t>
      </w:r>
    </w:p>
    <w:p>
      <w:pPr>
        <w:pStyle w:val="TextBody"/>
        <w:bidi w:val="0"/>
        <w:jc w:val="left"/>
        <w:rPr/>
      </w:pPr>
      <w:r>
        <w:rPr/>
        <w:t> </w:t>
      </w:r>
    </w:p>
    <w:p>
      <w:pPr>
        <w:pStyle w:val="TextBody"/>
        <w:bidi w:val="0"/>
        <w:jc w:val="left"/>
        <w:rPr>
          <w:rFonts w:ascii="Onest;sans-serif" w:hAnsi="Onest;sans-serif"/>
          <w:color w:val="000000"/>
          <w:sz w:val="20"/>
        </w:rPr>
      </w:pPr>
      <w:r>
        <w:rPr>
          <w:rFonts w:ascii="Onest;sans-serif" w:hAnsi="Onest;sans-serif"/>
          <w:color w:val="000000"/>
          <w:sz w:val="20"/>
        </w:rPr>
        <w:t>For certain forward-looking non-GAAP measures (as used in this press release, operating margin before charges / gains and EPS before charges / gains), the Company is unable to provide a reconciliation to the most comparable GAAP financial measure because the information needed to reconcile the non-GAAP financial measure to the GAAP financial measure is unavailable due to the inherent difficulty of forecasting the timing and / or amount of various items that have not yet occurred, including the high variability and low visibility with respect to gains and losses associated with our defined benefit plans, which are excluded from EPS before charges / gains and restructuring and other charges, which are excluded from operating margin before charges / gains and EPS before charges / gains. Additionally, estimating such GAAP measures and providing a meaningful reconciliation consistent with the Company’s accounting policies for future periods requires a level of precision that is unavailable for these future periods and cannot be accomplished without unreasonable effort. Forward-looking non-GAAP measures are estimated consistent with the relevant definitions and assumptions.</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Ones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5151</Words>
  <Characters>28711</Characters>
  <CharactersWithSpaces>34086</CharactersWithSpaces>
  <Paragraphs>2286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