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999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999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3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GARDEN EDWARD P</w:t>
              </w:r>
            </w:hyperlink>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Fortune Brands Innovations,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FBIN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0" w:type="dxa"/>
            <w:vAlign w:val="bottom"/>
            <w:tcBorders>
              <w:bottom w:val="single" w:sz="8" w:color="0000EE"/>
            </w:tcBorders>
          </w:tcPr>
          <w:p>
            <w:pPr>
              <w:spacing w:after="0"/>
              <w:rPr>
                <w:sz w:val="6"/>
                <w:szCs w:val="6"/>
                <w:color w:val="auto"/>
              </w:rPr>
            </w:pPr>
          </w:p>
        </w:tc>
        <w:tc>
          <w:tcPr>
            <w:tcW w:w="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6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2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9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FORTUNE BRANDS INNOVATIONS, INC.</w:t>
            </w:r>
          </w:p>
        </w:tc>
        <w:tc>
          <w:tcPr>
            <w:tcW w:w="2960" w:type="dxa"/>
            <w:vAlign w:val="bottom"/>
            <w:gridSpan w:val="3"/>
            <w:vMerge w:val="continue"/>
          </w:tcPr>
          <w:p>
            <w:pPr>
              <w:spacing w:after="0"/>
              <w:rPr>
                <w:sz w:val="11"/>
                <w:szCs w:val="11"/>
                <w:color w:val="auto"/>
              </w:rPr>
            </w:pPr>
          </w:p>
        </w:tc>
        <w:tc>
          <w:tcPr>
            <w:tcW w:w="9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9"/>
              </w:rPr>
              <w:t>1 HORIZON WAY, BUILDING N</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3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DEERFIELD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60015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3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00" w:type="dxa"/>
            <w:vAlign w:val="bottom"/>
          </w:tcPr>
          <w:p>
            <w:pPr>
              <w:ind w:left="2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30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30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5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76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80" w:type="dxa"/>
            <w:vAlign w:val="bottom"/>
            <w:tcBorders>
              <w:bottom w:val="single" w:sz="8" w:color="2C2C2C"/>
            </w:tcBorders>
          </w:tcPr>
          <w:p>
            <w:pPr>
              <w:spacing w:after="0"/>
              <w:rPr>
                <w:sz w:val="15"/>
                <w:szCs w:val="15"/>
                <w:color w:val="auto"/>
              </w:rPr>
            </w:pPr>
          </w:p>
        </w:tc>
        <w:tc>
          <w:tcPr>
            <w:tcW w:w="13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76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 GI</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30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05/20/2026</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57,400</w:t>
            </w:r>
          </w:p>
        </w:tc>
        <w:tc>
          <w:tcPr>
            <w:tcW w:w="5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34.89</w:t>
            </w:r>
            <w:r>
              <w:rPr>
                <w:rFonts w:ascii="Times New Roman" w:cs="Times New Roman" w:eastAsia="Times New Roman" w:hAnsi="Times New Roman"/>
                <w:sz w:val="22"/>
                <w:szCs w:val="22"/>
                <w:color w:val="008000"/>
                <w:vertAlign w:val="superscript"/>
              </w:rPr>
              <w:t>(1)</w:t>
            </w:r>
          </w:p>
        </w:tc>
        <w:tc>
          <w:tcPr>
            <w:tcW w:w="1040" w:type="dxa"/>
            <w:vAlign w:val="bottom"/>
            <w:vMerge w:val="restart"/>
          </w:tcPr>
          <w:p>
            <w:pPr>
              <w:jc w:val="right"/>
              <w:ind w:right="77"/>
              <w:spacing w:after="0"/>
              <w:rPr>
                <w:sz w:val="20"/>
                <w:szCs w:val="20"/>
                <w:color w:val="auto"/>
              </w:rPr>
            </w:pPr>
            <w:r>
              <w:rPr>
                <w:rFonts w:ascii="Times New Roman" w:cs="Times New Roman" w:eastAsia="Times New Roman" w:hAnsi="Times New Roman"/>
                <w:sz w:val="17"/>
                <w:szCs w:val="17"/>
                <w:color w:val="0000FF"/>
              </w:rPr>
              <w:t>3,620,167</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SPV II L.P.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8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and Green 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25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Garden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jc w:val="center"/>
              <w:ind w:right="137"/>
              <w:spacing w:after="0" w:line="213" w:lineRule="exact"/>
              <w:rPr>
                <w:sz w:val="20"/>
                <w:szCs w:val="20"/>
                <w:color w:val="auto"/>
              </w:rPr>
            </w:pPr>
            <w:r>
              <w:rPr>
                <w:rFonts w:ascii="Times New Roman" w:cs="Times New Roman" w:eastAsia="Times New Roman" w:hAnsi="Times New Roman"/>
                <w:sz w:val="17"/>
                <w:szCs w:val="17"/>
                <w:color w:val="0000FF"/>
              </w:rPr>
              <w:t>4,765</w:t>
            </w:r>
            <w:r>
              <w:rPr>
                <w:rFonts w:ascii="Times New Roman" w:cs="Times New Roman" w:eastAsia="Times New Roman" w:hAnsi="Times New Roman"/>
                <w:sz w:val="22"/>
                <w:szCs w:val="22"/>
                <w:color w:val="008000"/>
                <w:vertAlign w:val="superscript"/>
              </w:rPr>
              <w:t>(3)</w:t>
            </w:r>
          </w:p>
        </w:tc>
        <w:tc>
          <w:tcPr>
            <w:tcW w:w="98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Management,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the weighted average price. These shares were purchased in multiple transactions at prices ranging from $34.56 to $35.00,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2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GI SPV II L.P. ("GI SPV II") and Green 73 LLC. GI SPV II is the manager of Green 73 LLC. Mr. Garden is the sole member of Garden Investment Management GP, LLC, which serves as the general partner of Garden Investment Management, L.P., which serves as the management company for GI SPV II. Accordingly, Mr. Garden may be deemed to indirectly beneficially own (as that term is defined in Rule 16a-1(a) under the Securities Exchange Act of 1934, as amended (the "Exchange Act")) the securities of the Issuer beneficially owned by GI SPV II. Mr. Garden disclaims beneficial ownership of such securities except to the extent of his pecuniary interests therein, and this report shall not be deemed an admission that Mr. Garden is the beneficial owner of such securities for purposes of Section 16 of the Exchange Act or for any other purpose.</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prior grant of stock under the issuer's Long-Term Incentive Plan.</w:t>
      </w:r>
    </w:p>
    <w:p>
      <w:pPr>
        <w:spacing w:after="0" w:line="48"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Chad Fauser,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05/21/2026</w:t>
            </w:r>
          </w:p>
        </w:tc>
        <w:tc>
          <w:tcPr>
            <w:tcW w:w="0" w:type="dxa"/>
            <w:vAlign w:val="bottom"/>
          </w:tcPr>
          <w:p>
            <w:pPr>
              <w:spacing w:after="0"/>
              <w:rPr>
                <w:sz w:val="1"/>
                <w:szCs w:val="1"/>
                <w:color w:val="auto"/>
              </w:rPr>
            </w:pPr>
          </w:p>
        </w:tc>
      </w:tr>
      <w:tr>
        <w:trPr>
          <w:trHeight w:val="87"/>
        </w:trPr>
        <w:tc>
          <w:tcPr>
            <w:tcW w:w="186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Edward P. Garden</w:t>
            </w:r>
          </w:p>
        </w:tc>
        <w:tc>
          <w:tcPr>
            <w:tcW w:w="26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60" w:type="dxa"/>
            <w:vAlign w:val="bottom"/>
            <w:tcBorders>
              <w:bottom w:val="single" w:sz="8" w:color="auto"/>
            </w:tcBorders>
            <w:vMerge w:val="continue"/>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3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57864" TargetMode="External"/><Relationship Id="rId14" Type="http://schemas.openxmlformats.org/officeDocument/2006/relationships/hyperlink" Target="http://www.sec.gov/cgi-bin/browse-edgar?action=getcompany&amp;CIK=00015197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2026-05-21T17:02:34Z</dcterms:created>
  <dcterms:modified xsi:type="dcterms:W3CDTF">2026-05-21T17:02:34Z</dcterms:modified>
</cp:coreProperties>
</file>