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fbin-20260724.htm"/>
      <w:bookmarkStart w:id="1" w:name="ksfbin20260724"/>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356" w:type="dxa"/>
        <w:jc w:val="left"/>
        <w:tblInd w:w="0" w:type="dxa"/>
        <w:tblLayout w:type="fixed"/>
        <w:tblCellMar>
          <w:top w:w="28" w:type="dxa"/>
          <w:left w:w="28" w:type="dxa"/>
          <w:bottom w:w="28" w:type="dxa"/>
          <w:right w:w="28" w:type="dxa"/>
        </w:tblCellMar>
      </w:tblPr>
      <w:tblGrid>
        <w:gridCol w:w="5356"/>
      </w:tblGrid>
      <w:tr>
        <w:trPr/>
        <w:tc>
          <w:tcPr>
            <w:tcW w:w="5356" w:type="dxa"/>
            <w:tcBorders/>
            <w:vAlign w:val="center"/>
          </w:tcPr>
          <w:p>
            <w:pPr>
              <w:pStyle w:val="TableContents"/>
              <w:bidi w:val="0"/>
              <w:spacing w:before="0" w:after="283"/>
              <w:jc w:val="left"/>
              <w:rPr>
                <w:sz w:val="4"/>
                <w:szCs w:val="4"/>
              </w:rPr>
            </w:pPr>
            <w:r>
              <w:rPr>
                <w:sz w:val="4"/>
                <w:szCs w:val="4"/>
              </w:rPr>
            </w:r>
          </w:p>
        </w:tc>
      </w:tr>
      <w:tr>
        <w:trPr/>
        <w:tc>
          <w:tcPr>
            <w:tcW w:w="53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July 24,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FORTUNE BRANDS INNOVATIONS,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1-35166</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62-1411546</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1 Horizon Way</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Building N</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Deerfield, Illinois</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60015-3888</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847</w:t>
            </w:r>
            <w:r>
              <w:rPr>
                <w:rFonts w:ascii="Times New Roman" w:hAnsi="Times New Roman"/>
                <w:color w:val="000000"/>
                <w:sz w:val="20"/>
              </w:rPr>
              <w:t xml:space="preserve"> </w:t>
            </w:r>
            <w:r>
              <w:rPr>
                <w:rFonts w:ascii="Times New Roman" w:hAnsi="Times New Roman"/>
                <w:b/>
                <w:color w:val="000000"/>
                <w:sz w:val="20"/>
              </w:rPr>
              <w:t>484-4400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560" w:type="dxa"/>
        <w:jc w:val="left"/>
        <w:tblInd w:w="0" w:type="dxa"/>
        <w:tblLayout w:type="fixed"/>
        <w:tblCellMar>
          <w:top w:w="28" w:type="dxa"/>
          <w:left w:w="28" w:type="dxa"/>
          <w:bottom w:w="28" w:type="dxa"/>
          <w:right w:w="28" w:type="dxa"/>
        </w:tblCellMar>
      </w:tblPr>
      <w:tblGrid>
        <w:gridCol w:w="3496"/>
        <w:gridCol w:w="146"/>
        <w:gridCol w:w="946"/>
        <w:gridCol w:w="146"/>
        <w:gridCol w:w="3826"/>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49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FBIN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New York Stock Exchange</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2"/>
        </w:rPr>
      </w:pPr>
      <w:r>
        <w:rPr>
          <w:rFonts w:ascii="Times New Roman" w:hAnsi="Times New Roman"/>
          <w:color w:val="000000"/>
          <w:sz w:val="22"/>
        </w:rPr>
        <w:t>Item 5.02 Departure of Directors or Certain Officers; Election of Directors; Appointment of Certain Officers; Compensatory Arrangements of Certain Officers.</w:t>
      </w:r>
    </w:p>
    <w:p>
      <w:pPr>
        <w:pStyle w:val="TextBody"/>
        <w:bidi w:val="0"/>
        <w:jc w:val="left"/>
        <w:rPr>
          <w:rFonts w:ascii="Times New Roman" w:hAnsi="Times New Roman"/>
          <w:color w:val="000000"/>
          <w:sz w:val="22"/>
        </w:rPr>
      </w:pPr>
      <w:r>
        <w:rPr>
          <w:rFonts w:ascii="Times New Roman" w:hAnsi="Times New Roman"/>
          <w:color w:val="000000"/>
          <w:sz w:val="22"/>
        </w:rPr>
        <w:t>On July 24, 2026, Fortune Brands Innovations, Inc. (the “Company”) and Ms. Hiranda S. Donoghue, Executive Vice President, Chief Legal Officer and Corporate Secretary of the Company, determined that Ms. Donoghue would depart from the Company, effective as of July 31, 2026. Mr. Jack N. Melamed, the Company’s Vice President, Deputy General Counsel and Assistant Secretary, will serve as Chief Legal Officer and Corporate Secretary on an interim basis until a permanent successor is identified. Due to her qualifying termination of employment without cause under her existing Agreement for the Payment of Benefits Following Termination of Employment (the “Agreement”), Ms. Donoghue will be eligible to receive benefits upon her departure generally consistent with the Agreement as described in the Company’s Definitive Proxy Statement filed with the U.S. Securities and Exchange Commission on March 30, 2026. Ms. Donoghue’s departure from the Company is not as a result of any disagreement with the Company on any matter relating to the Company’s operations, policies or practices.</w:t>
      </w:r>
    </w:p>
    <w:p>
      <w:pPr>
        <w:pStyle w:val="Heading2"/>
        <w:bidi w:val="0"/>
        <w:spacing w:before="360" w:after="120"/>
        <w:jc w:val="left"/>
        <w:rPr>
          <w:rFonts w:ascii="Times New Roman" w:hAnsi="Times New Roman"/>
          <w:color w:val="000000"/>
          <w:sz w:val="22"/>
        </w:rPr>
      </w:pPr>
      <w:r>
        <w:rPr>
          <w:rFonts w:ascii="Times New Roman" w:hAnsi="Times New Roman"/>
          <w:color w:val="000000"/>
          <w:sz w:val="22"/>
        </w:rPr>
        <w:t>Item 9.01 Financial Statements and Exhibits.</w:t>
      </w:r>
    </w:p>
    <w:p>
      <w:pPr>
        <w:pStyle w:val="TextBody"/>
        <w:bidi w:val="0"/>
        <w:jc w:val="left"/>
        <w:rPr>
          <w:rFonts w:ascii="Times New Roman" w:hAnsi="Times New Roman"/>
          <w:color w:val="000000"/>
          <w:sz w:val="22"/>
        </w:rPr>
      </w:pPr>
      <w:r>
        <w:rPr>
          <w:rFonts w:ascii="Times New Roman" w:hAnsi="Times New Roman"/>
          <w:color w:val="000000"/>
          <w:sz w:val="22"/>
        </w:rPr>
        <w:t>(d) Exhibits</w:t>
      </w:r>
    </w:p>
    <w:p>
      <w:pPr>
        <w:pStyle w:val="TextBody"/>
        <w:bidi w:val="0"/>
        <w:jc w:val="left"/>
        <w:rPr/>
      </w:pPr>
      <w:r>
        <w:rPr/>
        <w:t> </w:t>
      </w:r>
    </w:p>
    <w:tbl>
      <w:tblPr>
        <w:tblW w:w="8867" w:type="dxa"/>
        <w:jc w:val="left"/>
        <w:tblInd w:w="0" w:type="dxa"/>
        <w:tblLayout w:type="fixed"/>
        <w:tblCellMar>
          <w:top w:w="28" w:type="dxa"/>
          <w:left w:w="28" w:type="dxa"/>
          <w:bottom w:w="28" w:type="dxa"/>
          <w:right w:w="28" w:type="dxa"/>
        </w:tblCellMar>
      </w:tblPr>
      <w:tblGrid>
        <w:gridCol w:w="1201"/>
        <w:gridCol w:w="7666"/>
      </w:tblGrid>
      <w:tr>
        <w:trPr/>
        <w:tc>
          <w:tcPr>
            <w:tcW w:w="1201" w:type="dxa"/>
            <w:tcBorders/>
            <w:vAlign w:val="center"/>
          </w:tcPr>
          <w:p>
            <w:pPr>
              <w:pStyle w:val="TableContents"/>
              <w:bidi w:val="0"/>
              <w:spacing w:before="0" w:after="283"/>
              <w:jc w:val="left"/>
              <w:rPr>
                <w:sz w:val="4"/>
                <w:szCs w:val="4"/>
              </w:rPr>
            </w:pPr>
            <w:r>
              <w:rPr>
                <w:sz w:val="4"/>
                <w:szCs w:val="4"/>
              </w:rPr>
            </w:r>
          </w:p>
        </w:tc>
        <w:tc>
          <w:tcPr>
            <w:tcW w:w="7666" w:type="dxa"/>
            <w:tcBorders/>
            <w:vAlign w:val="center"/>
          </w:tcPr>
          <w:p>
            <w:pPr>
              <w:pStyle w:val="TableContents"/>
              <w:bidi w:val="0"/>
              <w:spacing w:before="0" w:after="283"/>
              <w:jc w:val="left"/>
              <w:rPr>
                <w:sz w:val="4"/>
                <w:szCs w:val="4"/>
              </w:rPr>
            </w:pPr>
            <w:r>
              <w:rPr>
                <w:sz w:val="4"/>
                <w:szCs w:val="4"/>
              </w:rPr>
            </w:r>
          </w:p>
        </w:tc>
      </w:tr>
      <w:tr>
        <w:trPr/>
        <w:tc>
          <w:tcPr>
            <w:tcW w:w="12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u w:val="single"/>
              </w:rPr>
            </w:pPr>
            <w:r>
              <w:rPr>
                <w:rFonts w:ascii="Times New Roman" w:hAnsi="Times New Roman"/>
                <w:color w:val="000000"/>
                <w:sz w:val="22"/>
                <w:u w:val="single"/>
              </w:rPr>
              <w:t>Exhibit No.</w:t>
            </w:r>
          </w:p>
        </w:tc>
        <w:tc>
          <w:tcPr>
            <w:tcW w:w="7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u w:val="single"/>
              </w:rPr>
            </w:pPr>
            <w:r>
              <w:rPr>
                <w:rFonts w:ascii="Times New Roman" w:hAnsi="Times New Roman"/>
                <w:color w:val="000000"/>
                <w:sz w:val="22"/>
                <w:u w:val="single"/>
              </w:rPr>
              <w:t>Description</w:t>
            </w:r>
          </w:p>
        </w:tc>
      </w:tr>
      <w:tr>
        <w:trPr/>
        <w:tc>
          <w:tcPr>
            <w:tcW w:w="12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104</w:t>
            </w:r>
          </w:p>
        </w:tc>
        <w:tc>
          <w:tcPr>
            <w:tcW w:w="7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6064" w:type="dxa"/>
        <w:jc w:val="left"/>
        <w:tblInd w:w="0" w:type="dxa"/>
        <w:tblLayout w:type="fixed"/>
        <w:tblCellMar>
          <w:top w:w="28" w:type="dxa"/>
          <w:left w:w="28" w:type="dxa"/>
          <w:bottom w:w="28" w:type="dxa"/>
          <w:right w:w="28" w:type="dxa"/>
        </w:tblCellMar>
      </w:tblPr>
      <w:tblGrid>
        <w:gridCol w:w="556"/>
        <w:gridCol w:w="1216"/>
        <w:gridCol w:w="631"/>
        <w:gridCol w:w="3661"/>
      </w:tblGrid>
      <w:tr>
        <w:trPr/>
        <w:tc>
          <w:tcPr>
            <w:tcW w:w="55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66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366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FORTUNE BRANDS INNOVATIONS,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36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21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July 30, 2026</w:t>
            </w:r>
          </w:p>
        </w:tc>
        <w:tc>
          <w:tcPr>
            <w:tcW w:w="63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366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Ashley E. George</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Name:</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366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Ashley E. George</w:t>
              <w:br/>
              <w:t>Interim 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559</Words>
  <Characters>3148</Characters>
  <CharactersWithSpaces>3694</CharactersWithSpaces>
  <Paragraphs>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